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89" w:rsidRPr="00207F89" w:rsidRDefault="00207F89" w:rsidP="00207F89">
      <w:pPr>
        <w:widowControl w:val="0"/>
        <w:spacing w:after="0" w:line="0" w:lineRule="atLeast"/>
        <w:jc w:val="center"/>
        <w:rPr>
          <w:rFonts w:ascii="Times New Roman" w:eastAsia="Times New Roman" w:hAnsi="Times New Roman" w:cs="Times New Roman"/>
          <w:b/>
          <w:bCs/>
          <w:color w:val="000000"/>
          <w:sz w:val="26"/>
          <w:szCs w:val="26"/>
          <w:lang w:eastAsia="uk-UA" w:bidi="uk-UA"/>
        </w:rPr>
      </w:pPr>
      <w:r w:rsidRPr="00207F89">
        <w:rPr>
          <w:rFonts w:ascii="Times New Roman" w:eastAsia="Times New Roman" w:hAnsi="Times New Roman" w:cs="Times New Roman"/>
          <w:b/>
          <w:bCs/>
          <w:color w:val="000000"/>
          <w:sz w:val="26"/>
          <w:szCs w:val="26"/>
          <w:lang w:eastAsia="uk-UA" w:bidi="uk-UA"/>
        </w:rPr>
        <w:t>Огляд даних судової статистики</w:t>
      </w:r>
    </w:p>
    <w:p w:rsidR="00207F89" w:rsidRPr="00207F89" w:rsidRDefault="00207F89" w:rsidP="00207F89">
      <w:pPr>
        <w:widowControl w:val="0"/>
        <w:spacing w:after="0" w:line="0" w:lineRule="atLeast"/>
        <w:rPr>
          <w:rFonts w:ascii="Times New Roman" w:eastAsia="Times New Roman" w:hAnsi="Times New Roman" w:cs="Times New Roman"/>
          <w:b/>
          <w:bCs/>
          <w:color w:val="000000"/>
          <w:sz w:val="26"/>
          <w:szCs w:val="26"/>
          <w:lang w:eastAsia="uk-UA" w:bidi="uk-UA"/>
        </w:rPr>
      </w:pPr>
      <w:r w:rsidRPr="00207F89">
        <w:rPr>
          <w:rFonts w:ascii="Times New Roman" w:eastAsia="Times New Roman" w:hAnsi="Times New Roman" w:cs="Times New Roman"/>
          <w:b/>
          <w:bCs/>
          <w:color w:val="000000"/>
          <w:sz w:val="26"/>
          <w:szCs w:val="26"/>
          <w:lang w:eastAsia="uk-UA" w:bidi="uk-UA"/>
        </w:rPr>
        <w:t xml:space="preserve">про стан здійснення судочинства Львівським окружним адміністративним судом </w:t>
      </w:r>
    </w:p>
    <w:p w:rsidR="00207F89" w:rsidRPr="00207F89" w:rsidRDefault="00207F89" w:rsidP="00207F89">
      <w:pPr>
        <w:widowControl w:val="0"/>
        <w:spacing w:after="0" w:line="0" w:lineRule="atLeast"/>
        <w:jc w:val="center"/>
        <w:rPr>
          <w:rFonts w:ascii="Times New Roman" w:eastAsia="Times New Roman" w:hAnsi="Times New Roman" w:cs="Times New Roman"/>
          <w:b/>
          <w:bCs/>
          <w:color w:val="000000"/>
          <w:sz w:val="26"/>
          <w:szCs w:val="26"/>
          <w:lang w:eastAsia="uk-UA" w:bidi="uk-UA"/>
        </w:rPr>
      </w:pPr>
      <w:r w:rsidRPr="00207F89">
        <w:rPr>
          <w:rFonts w:ascii="Times New Roman" w:eastAsia="Times New Roman" w:hAnsi="Times New Roman" w:cs="Times New Roman"/>
          <w:b/>
          <w:bCs/>
          <w:color w:val="000000"/>
          <w:sz w:val="26"/>
          <w:szCs w:val="26"/>
          <w:lang w:eastAsia="uk-UA" w:bidi="uk-UA"/>
        </w:rPr>
        <w:t>за 2017 рік</w:t>
      </w:r>
    </w:p>
    <w:p w:rsidR="00207F89" w:rsidRPr="00207F89" w:rsidRDefault="00207F89" w:rsidP="00207F89">
      <w:pPr>
        <w:widowControl w:val="0"/>
        <w:spacing w:after="0" w:line="0" w:lineRule="atLeast"/>
        <w:jc w:val="center"/>
        <w:rPr>
          <w:rFonts w:ascii="Times New Roman" w:eastAsia="Times New Roman" w:hAnsi="Times New Roman" w:cs="Times New Roman"/>
          <w:b/>
          <w:bCs/>
          <w:color w:val="000000"/>
          <w:sz w:val="26"/>
          <w:szCs w:val="26"/>
          <w:lang w:eastAsia="uk-UA" w:bidi="uk-UA"/>
        </w:rPr>
      </w:pPr>
    </w:p>
    <w:p w:rsidR="00207F89" w:rsidRPr="00207F89" w:rsidRDefault="00207F89" w:rsidP="00207F89">
      <w:pPr>
        <w:widowControl w:val="0"/>
        <w:spacing w:after="0" w:line="0" w:lineRule="atLeast"/>
        <w:ind w:firstLine="76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Відповідно до статті 2 Закону України «Про судоустрій і статус суддів», завданням суду є забезпечення права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 Основне завдання адміністративного суду полягає у захисті прав та законних інтересів, перш за все, громадян та юридичних осіб у спорах із суб’єктами владних повноважень.</w:t>
      </w:r>
    </w:p>
    <w:p w:rsidR="00207F89" w:rsidRPr="00207F89" w:rsidRDefault="00207F89" w:rsidP="00207F89">
      <w:pPr>
        <w:widowControl w:val="0"/>
        <w:spacing w:after="0" w:line="0" w:lineRule="atLeast"/>
        <w:ind w:firstLine="76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 xml:space="preserve">Упродовж 2017 року Львівським окружним адміністративним судом </w:t>
      </w:r>
      <w:r w:rsidR="004815C0">
        <w:rPr>
          <w:rFonts w:ascii="Times New Roman" w:eastAsia="Times New Roman" w:hAnsi="Times New Roman" w:cs="Times New Roman"/>
          <w:color w:val="000000"/>
          <w:sz w:val="24"/>
          <w:szCs w:val="24"/>
          <w:lang w:eastAsia="uk-UA" w:bidi="uk-UA"/>
        </w:rPr>
        <w:t>були вжиті</w:t>
      </w:r>
      <w:r w:rsidRPr="00207F89">
        <w:rPr>
          <w:rFonts w:ascii="Times New Roman" w:eastAsia="Times New Roman" w:hAnsi="Times New Roman" w:cs="Times New Roman"/>
          <w:color w:val="000000"/>
          <w:sz w:val="24"/>
          <w:szCs w:val="24"/>
          <w:lang w:eastAsia="uk-UA" w:bidi="uk-UA"/>
        </w:rPr>
        <w:t xml:space="preserve"> заходи, спрямовані на забезпечення належного рівня здійснення право</w:t>
      </w:r>
      <w:r w:rsidR="004815C0">
        <w:rPr>
          <w:rFonts w:ascii="Times New Roman" w:eastAsia="Times New Roman" w:hAnsi="Times New Roman" w:cs="Times New Roman"/>
          <w:color w:val="000000"/>
          <w:sz w:val="24"/>
          <w:szCs w:val="24"/>
          <w:lang w:eastAsia="uk-UA" w:bidi="uk-UA"/>
        </w:rPr>
        <w:t>суддя, захисту прав та</w:t>
      </w:r>
      <w:r w:rsidRPr="00207F89">
        <w:rPr>
          <w:rFonts w:ascii="Times New Roman" w:eastAsia="Times New Roman" w:hAnsi="Times New Roman" w:cs="Times New Roman"/>
          <w:color w:val="000000"/>
          <w:sz w:val="24"/>
          <w:szCs w:val="24"/>
          <w:lang w:eastAsia="uk-UA" w:bidi="uk-UA"/>
        </w:rPr>
        <w:t xml:space="preserve">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w:t>
      </w:r>
    </w:p>
    <w:p w:rsidR="00207F89" w:rsidRPr="00207F89" w:rsidRDefault="002443E1" w:rsidP="00207F89">
      <w:pPr>
        <w:widowControl w:val="0"/>
        <w:spacing w:after="0" w:line="0" w:lineRule="atLeast"/>
        <w:ind w:firstLine="76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Штатним розписом</w:t>
      </w:r>
      <w:r w:rsidR="00207F89" w:rsidRPr="00207F89">
        <w:rPr>
          <w:rFonts w:ascii="Times New Roman" w:eastAsia="Times New Roman" w:hAnsi="Times New Roman" w:cs="Times New Roman"/>
          <w:color w:val="000000"/>
          <w:sz w:val="24"/>
          <w:szCs w:val="24"/>
          <w:lang w:eastAsia="uk-UA" w:bidi="uk-UA"/>
        </w:rPr>
        <w:t xml:space="preserve"> Львівського окружного </w:t>
      </w:r>
      <w:r>
        <w:rPr>
          <w:rFonts w:ascii="Times New Roman" w:eastAsia="Times New Roman" w:hAnsi="Times New Roman" w:cs="Times New Roman"/>
          <w:color w:val="000000"/>
          <w:sz w:val="24"/>
          <w:szCs w:val="24"/>
          <w:lang w:eastAsia="uk-UA" w:bidi="uk-UA"/>
        </w:rPr>
        <w:t>адміністративного суду передбачено</w:t>
      </w:r>
      <w:r w:rsidR="00207F89" w:rsidRPr="00207F89">
        <w:rPr>
          <w:rFonts w:ascii="Times New Roman" w:eastAsia="Times New Roman" w:hAnsi="Times New Roman" w:cs="Times New Roman"/>
          <w:color w:val="000000"/>
          <w:sz w:val="24"/>
          <w:szCs w:val="24"/>
          <w:lang w:eastAsia="uk-UA" w:bidi="uk-UA"/>
        </w:rPr>
        <w:t xml:space="preserve"> 31</w:t>
      </w:r>
      <w:r>
        <w:rPr>
          <w:rFonts w:ascii="Times New Roman" w:eastAsia="Times New Roman" w:hAnsi="Times New Roman" w:cs="Times New Roman"/>
          <w:color w:val="000000"/>
          <w:sz w:val="24"/>
          <w:szCs w:val="24"/>
          <w:lang w:eastAsia="uk-UA" w:bidi="uk-UA"/>
        </w:rPr>
        <w:t xml:space="preserve"> посаду судді. П</w:t>
      </w:r>
      <w:r w:rsidR="00207F89" w:rsidRPr="00207F89">
        <w:rPr>
          <w:rFonts w:ascii="Times New Roman" w:eastAsia="Times New Roman" w:hAnsi="Times New Roman" w:cs="Times New Roman"/>
          <w:color w:val="000000"/>
          <w:sz w:val="24"/>
          <w:szCs w:val="24"/>
          <w:lang w:eastAsia="uk-UA" w:bidi="uk-UA"/>
        </w:rPr>
        <w:t xml:space="preserve">роте фактична кількість суддів, що здійснювали правосуддя у 2017 році протягом року </w:t>
      </w:r>
      <w:r>
        <w:rPr>
          <w:rFonts w:ascii="Times New Roman" w:eastAsia="Times New Roman" w:hAnsi="Times New Roman" w:cs="Times New Roman"/>
          <w:color w:val="000000"/>
          <w:sz w:val="24"/>
          <w:szCs w:val="24"/>
          <w:lang w:eastAsia="uk-UA" w:bidi="uk-UA"/>
        </w:rPr>
        <w:t xml:space="preserve">постійно </w:t>
      </w:r>
      <w:r w:rsidR="00207F89" w:rsidRPr="00207F89">
        <w:rPr>
          <w:rFonts w:ascii="Times New Roman" w:eastAsia="Times New Roman" w:hAnsi="Times New Roman" w:cs="Times New Roman"/>
          <w:color w:val="000000"/>
          <w:sz w:val="24"/>
          <w:szCs w:val="24"/>
          <w:lang w:eastAsia="uk-UA" w:bidi="uk-UA"/>
        </w:rPr>
        <w:t xml:space="preserve">змінювалася. </w:t>
      </w:r>
      <w:r w:rsidR="00E079ED">
        <w:rPr>
          <w:rFonts w:ascii="Times New Roman" w:eastAsia="Times New Roman" w:hAnsi="Times New Roman" w:cs="Times New Roman"/>
          <w:color w:val="000000"/>
          <w:sz w:val="24"/>
          <w:szCs w:val="24"/>
          <w:lang w:eastAsia="uk-UA" w:bidi="uk-UA"/>
        </w:rPr>
        <w:t xml:space="preserve">Зокрема, на початок звітного періоду </w:t>
      </w:r>
      <w:r>
        <w:rPr>
          <w:rFonts w:ascii="Times New Roman" w:eastAsia="Times New Roman" w:hAnsi="Times New Roman" w:cs="Times New Roman"/>
          <w:color w:val="000000"/>
          <w:sz w:val="24"/>
          <w:szCs w:val="24"/>
          <w:lang w:eastAsia="uk-UA" w:bidi="uk-UA"/>
        </w:rPr>
        <w:t>розгляд спра</w:t>
      </w:r>
      <w:r w:rsidR="00E079ED">
        <w:rPr>
          <w:rFonts w:ascii="Times New Roman" w:eastAsia="Times New Roman" w:hAnsi="Times New Roman" w:cs="Times New Roman"/>
          <w:color w:val="000000"/>
          <w:sz w:val="24"/>
          <w:szCs w:val="24"/>
          <w:lang w:eastAsia="uk-UA" w:bidi="uk-UA"/>
        </w:rPr>
        <w:t>в здійснювався 17 суддями. У зв’язку із закінченням у суддів п’ятирічного терміну повно</w:t>
      </w:r>
      <w:r w:rsidR="001D5622">
        <w:rPr>
          <w:rFonts w:ascii="Times New Roman" w:eastAsia="Times New Roman" w:hAnsi="Times New Roman" w:cs="Times New Roman"/>
          <w:color w:val="000000"/>
          <w:sz w:val="24"/>
          <w:szCs w:val="24"/>
          <w:lang w:eastAsia="uk-UA" w:bidi="uk-UA"/>
        </w:rPr>
        <w:t>важень на здійснення правосуддя</w:t>
      </w:r>
      <w:r w:rsidR="004815C0">
        <w:rPr>
          <w:rFonts w:ascii="Times New Roman" w:eastAsia="Times New Roman" w:hAnsi="Times New Roman" w:cs="Times New Roman"/>
          <w:color w:val="000000"/>
          <w:sz w:val="24"/>
          <w:szCs w:val="24"/>
          <w:lang w:eastAsia="uk-UA" w:bidi="uk-UA"/>
        </w:rPr>
        <w:t xml:space="preserve"> станом на вересень</w:t>
      </w:r>
      <w:r w:rsidR="00E079ED">
        <w:rPr>
          <w:rFonts w:ascii="Times New Roman" w:eastAsia="Times New Roman" w:hAnsi="Times New Roman" w:cs="Times New Roman"/>
          <w:color w:val="000000"/>
          <w:sz w:val="24"/>
          <w:szCs w:val="24"/>
          <w:lang w:eastAsia="uk-UA" w:bidi="uk-UA"/>
        </w:rPr>
        <w:t xml:space="preserve"> 2017 року розгляд спра</w:t>
      </w:r>
      <w:r w:rsidR="004815C0">
        <w:rPr>
          <w:rFonts w:ascii="Times New Roman" w:eastAsia="Times New Roman" w:hAnsi="Times New Roman" w:cs="Times New Roman"/>
          <w:color w:val="000000"/>
          <w:sz w:val="24"/>
          <w:szCs w:val="24"/>
          <w:lang w:eastAsia="uk-UA" w:bidi="uk-UA"/>
        </w:rPr>
        <w:t>в здійснювався лише 10 суддями.</w:t>
      </w:r>
      <w:r w:rsidR="00E079ED">
        <w:rPr>
          <w:rFonts w:ascii="Times New Roman" w:eastAsia="Times New Roman" w:hAnsi="Times New Roman" w:cs="Times New Roman"/>
          <w:color w:val="000000"/>
          <w:sz w:val="24"/>
          <w:szCs w:val="24"/>
          <w:lang w:eastAsia="uk-UA" w:bidi="uk-UA"/>
        </w:rPr>
        <w:t xml:space="preserve"> На кінець звітного періоду розгляд справ здійснювався 18 суддями, оскілки</w:t>
      </w:r>
      <w:r w:rsidR="001D5622">
        <w:rPr>
          <w:rFonts w:ascii="Times New Roman" w:eastAsia="Times New Roman" w:hAnsi="Times New Roman" w:cs="Times New Roman"/>
          <w:color w:val="000000"/>
          <w:sz w:val="24"/>
          <w:szCs w:val="24"/>
          <w:lang w:eastAsia="uk-UA" w:bidi="uk-UA"/>
        </w:rPr>
        <w:t xml:space="preserve"> 7 суддям</w:t>
      </w:r>
      <w:r w:rsidR="00E079ED">
        <w:rPr>
          <w:rFonts w:ascii="Times New Roman" w:eastAsia="Times New Roman" w:hAnsi="Times New Roman" w:cs="Times New Roman"/>
          <w:color w:val="000000"/>
          <w:sz w:val="24"/>
          <w:szCs w:val="24"/>
          <w:lang w:eastAsia="uk-UA" w:bidi="uk-UA"/>
        </w:rPr>
        <w:t xml:space="preserve"> було надано повноваження на здійснення правосуддя та 1 суддя приступила до виконання своїх обов’язків після відпустки по догляду за дитиною</w:t>
      </w:r>
      <w:r>
        <w:rPr>
          <w:rFonts w:ascii="Times New Roman" w:eastAsia="Times New Roman" w:hAnsi="Times New Roman" w:cs="Times New Roman"/>
          <w:color w:val="000000"/>
          <w:sz w:val="24"/>
          <w:szCs w:val="24"/>
          <w:lang w:eastAsia="uk-UA" w:bidi="uk-UA"/>
        </w:rPr>
        <w:t>.</w:t>
      </w:r>
    </w:p>
    <w:p w:rsidR="00207F89" w:rsidRPr="00207F89" w:rsidRDefault="00207F89" w:rsidP="00207F89">
      <w:pPr>
        <w:widowControl w:val="0"/>
        <w:spacing w:after="0" w:line="0" w:lineRule="atLeast"/>
        <w:ind w:firstLine="76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Завданням даного аналізу є відображення процесів, що відбувалися при здійсненні правосуддя у 2017 році. Використання такої статистичної інформації має важливе значення для своєчасного виявлення тенденцій, що виникають у судовій діяльності, їх аналізу та вжиття необхідних заходів для усунення недоліків у роботі, підвищення рівня здійснення судочинства.</w:t>
      </w:r>
    </w:p>
    <w:p w:rsidR="00207F89" w:rsidRPr="00207F89" w:rsidRDefault="00207F89" w:rsidP="00207F89">
      <w:pPr>
        <w:widowControl w:val="0"/>
        <w:spacing w:after="0" w:line="0" w:lineRule="atLeast"/>
        <w:ind w:firstLine="76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Метою статистичного аналізу є визначення кількісних характеристик об’єкта дослідження з урахуванням суб’єктного та предметного складу адміністративних позовів, що надійшли до Львівського окружного адміністративного суду в 2017 році.</w:t>
      </w:r>
    </w:p>
    <w:p w:rsidR="00207F89" w:rsidRPr="00730446" w:rsidRDefault="00207F89" w:rsidP="00730446">
      <w:pPr>
        <w:widowControl w:val="0"/>
        <w:spacing w:after="0" w:line="0" w:lineRule="atLeast"/>
        <w:ind w:firstLine="760"/>
        <w:jc w:val="both"/>
        <w:rPr>
          <w:rFonts w:ascii="Times New Roman" w:eastAsia="Times New Roman" w:hAnsi="Times New Roman" w:cs="Times New Roman"/>
          <w:color w:val="000000"/>
          <w:sz w:val="24"/>
          <w:szCs w:val="24"/>
          <w:lang w:eastAsia="uk-UA" w:bidi="uk-UA"/>
        </w:rPr>
      </w:pPr>
      <w:r w:rsidRPr="004815C0">
        <w:rPr>
          <w:rFonts w:ascii="Times New Roman" w:eastAsia="Times New Roman" w:hAnsi="Times New Roman" w:cs="Times New Roman"/>
          <w:color w:val="000000"/>
          <w:sz w:val="24"/>
          <w:szCs w:val="24"/>
          <w:lang w:eastAsia="uk-UA" w:bidi="uk-UA"/>
        </w:rPr>
        <w:t>Головними аспектами аналізу є відоб</w:t>
      </w:r>
      <w:r w:rsidR="00E20AC8" w:rsidRPr="004815C0">
        <w:rPr>
          <w:rFonts w:ascii="Times New Roman" w:eastAsia="Times New Roman" w:hAnsi="Times New Roman" w:cs="Times New Roman"/>
          <w:color w:val="000000"/>
          <w:sz w:val="24"/>
          <w:szCs w:val="24"/>
          <w:lang w:eastAsia="uk-UA" w:bidi="uk-UA"/>
        </w:rPr>
        <w:t>раження загальних показників навантаження суду</w:t>
      </w:r>
      <w:r w:rsidRPr="004815C0">
        <w:rPr>
          <w:rFonts w:ascii="Times New Roman" w:eastAsia="Times New Roman" w:hAnsi="Times New Roman" w:cs="Times New Roman"/>
          <w:color w:val="000000"/>
          <w:sz w:val="24"/>
          <w:szCs w:val="24"/>
          <w:lang w:eastAsia="uk-UA" w:bidi="uk-UA"/>
        </w:rPr>
        <w:t>; кількості справ та матеріалів розглянутих судом за окремими категоріями; якість розгляду судо</w:t>
      </w:r>
      <w:r w:rsidR="004815C0" w:rsidRPr="004815C0">
        <w:rPr>
          <w:rFonts w:ascii="Times New Roman" w:eastAsia="Times New Roman" w:hAnsi="Times New Roman" w:cs="Times New Roman"/>
          <w:color w:val="000000"/>
          <w:sz w:val="24"/>
          <w:szCs w:val="24"/>
          <w:lang w:eastAsia="uk-UA" w:bidi="uk-UA"/>
        </w:rPr>
        <w:t>вих справ</w:t>
      </w:r>
      <w:r w:rsidRPr="004815C0">
        <w:rPr>
          <w:rFonts w:ascii="Times New Roman" w:eastAsia="Times New Roman" w:hAnsi="Times New Roman" w:cs="Times New Roman"/>
          <w:color w:val="000000"/>
          <w:sz w:val="24"/>
          <w:szCs w:val="24"/>
          <w:lang w:eastAsia="uk-UA" w:bidi="uk-UA"/>
        </w:rPr>
        <w:t>.</w:t>
      </w:r>
    </w:p>
    <w:p w:rsidR="004815C0" w:rsidRDefault="004815C0" w:rsidP="00207F89">
      <w:pPr>
        <w:widowControl w:val="0"/>
        <w:spacing w:after="0" w:line="0" w:lineRule="atLeast"/>
        <w:ind w:firstLine="782"/>
        <w:jc w:val="both"/>
        <w:rPr>
          <w:rFonts w:ascii="Times New Roman" w:eastAsia="Times New Roman" w:hAnsi="Times New Roman" w:cs="Times New Roman"/>
          <w:sz w:val="24"/>
          <w:szCs w:val="24"/>
          <w:lang w:eastAsia="uk-UA"/>
        </w:rPr>
      </w:pPr>
    </w:p>
    <w:p w:rsidR="00730446" w:rsidRPr="00207F89" w:rsidRDefault="00730446" w:rsidP="00207F89">
      <w:pPr>
        <w:widowControl w:val="0"/>
        <w:spacing w:after="0" w:line="0" w:lineRule="atLeast"/>
        <w:ind w:firstLine="782"/>
        <w:jc w:val="both"/>
        <w:rPr>
          <w:rFonts w:ascii="Times New Roman" w:eastAsia="Times New Roman" w:hAnsi="Times New Roman" w:cs="Times New Roman"/>
          <w:sz w:val="24"/>
          <w:szCs w:val="24"/>
          <w:lang w:eastAsia="uk-UA"/>
        </w:rPr>
      </w:pPr>
    </w:p>
    <w:p w:rsidR="00207F89" w:rsidRPr="00A53ABD" w:rsidRDefault="00E20AC8" w:rsidP="00A53ABD">
      <w:pPr>
        <w:pStyle w:val="ac"/>
        <w:ind w:left="720"/>
        <w:rPr>
          <w:sz w:val="24"/>
          <w:szCs w:val="24"/>
        </w:rPr>
      </w:pPr>
      <w:r w:rsidRPr="00A53ABD">
        <w:rPr>
          <w:rFonts w:eastAsia="Times New Roman"/>
          <w:sz w:val="24"/>
          <w:szCs w:val="24"/>
          <w:lang w:eastAsia="uk-UA"/>
        </w:rPr>
        <w:t xml:space="preserve">І. </w:t>
      </w:r>
      <w:r w:rsidR="00A53ABD" w:rsidRPr="00A53ABD">
        <w:rPr>
          <w:sz w:val="24"/>
          <w:szCs w:val="24"/>
        </w:rPr>
        <w:t xml:space="preserve">Обсяг надходження справ і </w:t>
      </w:r>
      <w:r w:rsidR="004815C0">
        <w:rPr>
          <w:sz w:val="24"/>
          <w:szCs w:val="24"/>
        </w:rPr>
        <w:t>матеріалів</w:t>
      </w:r>
    </w:p>
    <w:p w:rsidR="00207F89" w:rsidRPr="00207F89" w:rsidRDefault="00207F89" w:rsidP="00207F89">
      <w:pPr>
        <w:widowControl w:val="0"/>
        <w:spacing w:after="0" w:line="0" w:lineRule="atLeast"/>
        <w:ind w:firstLine="782"/>
        <w:jc w:val="both"/>
        <w:rPr>
          <w:rFonts w:ascii="Times New Roman" w:eastAsia="Times New Roman" w:hAnsi="Times New Roman" w:cs="Times New Roman"/>
          <w:sz w:val="24"/>
          <w:szCs w:val="24"/>
          <w:lang w:eastAsia="uk-UA"/>
        </w:rPr>
      </w:pPr>
    </w:p>
    <w:p w:rsidR="00207F89" w:rsidRPr="00207F89" w:rsidRDefault="00207F89" w:rsidP="00207F89">
      <w:pPr>
        <w:widowControl w:val="0"/>
        <w:spacing w:after="0" w:line="0" w:lineRule="atLeast"/>
        <w:ind w:firstLine="782"/>
        <w:jc w:val="both"/>
        <w:rPr>
          <w:rFonts w:ascii="Times New Roman" w:eastAsia="Times New Roman" w:hAnsi="Times New Roman" w:cs="Times New Roman"/>
          <w:sz w:val="24"/>
          <w:szCs w:val="24"/>
          <w:lang w:eastAsia="uk-UA"/>
        </w:rPr>
      </w:pPr>
      <w:r w:rsidRPr="00207F89">
        <w:rPr>
          <w:rFonts w:ascii="Times New Roman" w:eastAsia="Times New Roman" w:hAnsi="Times New Roman" w:cs="Times New Roman"/>
          <w:sz w:val="24"/>
          <w:szCs w:val="24"/>
          <w:lang w:eastAsia="uk-UA"/>
        </w:rPr>
        <w:t xml:space="preserve">На виконання рішення Ради суддів адміністративних судів України № 155 від 02.12.2013 щомісяця в суді формується довідка «Інформація про основні показники здійснення судочинства Львівським окружним адміністративним судом».  </w:t>
      </w:r>
    </w:p>
    <w:p w:rsidR="00207F89" w:rsidRDefault="00207F89" w:rsidP="00207F89">
      <w:pPr>
        <w:widowControl w:val="0"/>
        <w:spacing w:after="0" w:line="0" w:lineRule="atLeast"/>
        <w:ind w:firstLine="782"/>
        <w:jc w:val="both"/>
        <w:rPr>
          <w:rFonts w:ascii="Times New Roman" w:eastAsia="Times New Roman" w:hAnsi="Times New Roman" w:cs="Times New Roman"/>
          <w:sz w:val="24"/>
          <w:szCs w:val="24"/>
          <w:lang w:eastAsia="uk-UA"/>
        </w:rPr>
      </w:pPr>
      <w:r w:rsidRPr="00207F89">
        <w:rPr>
          <w:rFonts w:ascii="Times New Roman" w:eastAsia="Times New Roman" w:hAnsi="Times New Roman" w:cs="Times New Roman"/>
          <w:sz w:val="24"/>
          <w:szCs w:val="24"/>
          <w:lang w:eastAsia="uk-UA"/>
        </w:rPr>
        <w:t>Аналізуючи основні показники здійснення судочинства за 2017 року із аналогічним періодом 2016</w:t>
      </w:r>
      <w:r w:rsidR="00990391">
        <w:rPr>
          <w:rFonts w:ascii="Times New Roman" w:eastAsia="Times New Roman" w:hAnsi="Times New Roman" w:cs="Times New Roman"/>
          <w:sz w:val="24"/>
          <w:szCs w:val="24"/>
          <w:lang w:eastAsia="uk-UA"/>
        </w:rPr>
        <w:t xml:space="preserve"> та 2015</w:t>
      </w:r>
      <w:r w:rsidRPr="00207F89">
        <w:rPr>
          <w:rFonts w:ascii="Times New Roman" w:eastAsia="Times New Roman" w:hAnsi="Times New Roman" w:cs="Times New Roman"/>
          <w:sz w:val="24"/>
          <w:szCs w:val="24"/>
          <w:lang w:eastAsia="uk-UA"/>
        </w:rPr>
        <w:t xml:space="preserve"> року можна констатувати, що </w:t>
      </w:r>
      <w:r>
        <w:rPr>
          <w:rFonts w:ascii="Times New Roman" w:eastAsia="Times New Roman" w:hAnsi="Times New Roman" w:cs="Times New Roman"/>
          <w:sz w:val="24"/>
          <w:szCs w:val="24"/>
          <w:lang w:eastAsia="uk-UA"/>
        </w:rPr>
        <w:t>навантаження на суд збі</w:t>
      </w:r>
      <w:r w:rsidRPr="00207F89">
        <w:rPr>
          <w:rFonts w:ascii="Times New Roman" w:eastAsia="Times New Roman" w:hAnsi="Times New Roman" w:cs="Times New Roman"/>
          <w:sz w:val="24"/>
          <w:szCs w:val="24"/>
          <w:lang w:eastAsia="uk-UA"/>
        </w:rPr>
        <w:t>льши</w:t>
      </w:r>
      <w:r>
        <w:rPr>
          <w:rFonts w:ascii="Times New Roman" w:eastAsia="Times New Roman" w:hAnsi="Times New Roman" w:cs="Times New Roman"/>
          <w:sz w:val="24"/>
          <w:szCs w:val="24"/>
          <w:lang w:eastAsia="uk-UA"/>
        </w:rPr>
        <w:t>лось</w:t>
      </w:r>
      <w:r w:rsidRPr="00207F89">
        <w:rPr>
          <w:rFonts w:ascii="Times New Roman" w:eastAsia="Times New Roman" w:hAnsi="Times New Roman" w:cs="Times New Roman"/>
          <w:sz w:val="24"/>
          <w:szCs w:val="24"/>
          <w:lang w:eastAsia="uk-UA"/>
        </w:rPr>
        <w:t>.</w:t>
      </w:r>
    </w:p>
    <w:p w:rsidR="00770962" w:rsidRDefault="00770962" w:rsidP="00207F89">
      <w:pPr>
        <w:widowControl w:val="0"/>
        <w:spacing w:after="0" w:line="0" w:lineRule="atLeast"/>
        <w:ind w:firstLine="78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Порівняння навантаження за 2015, 2016, 2017 роки наведено у наступній діаграмі. </w:t>
      </w:r>
    </w:p>
    <w:p w:rsidR="00770962" w:rsidRDefault="00770962" w:rsidP="00207F89">
      <w:pPr>
        <w:widowControl w:val="0"/>
        <w:spacing w:after="0" w:line="0" w:lineRule="atLeast"/>
        <w:ind w:firstLine="782"/>
        <w:jc w:val="both"/>
        <w:rPr>
          <w:rFonts w:ascii="Times New Roman" w:eastAsia="Times New Roman" w:hAnsi="Times New Roman" w:cs="Times New Roman"/>
          <w:sz w:val="24"/>
          <w:szCs w:val="24"/>
          <w:lang w:eastAsia="uk-UA"/>
        </w:rPr>
      </w:pPr>
    </w:p>
    <w:p w:rsidR="00770962" w:rsidRDefault="00844D6D" w:rsidP="00844D6D">
      <w:pPr>
        <w:widowControl w:val="0"/>
        <w:spacing w:after="0" w:line="0" w:lineRule="atLeast"/>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362575" cy="17907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90391" w:rsidRDefault="00990391"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p>
    <w:p w:rsidR="004815C0" w:rsidRDefault="004815C0"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p>
    <w:p w:rsidR="00730446" w:rsidRDefault="00730446"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p>
    <w:p w:rsidR="00207F89" w:rsidRPr="00207F89" w:rsidRDefault="00207F89"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Відтак, у</w:t>
      </w:r>
      <w:r>
        <w:rPr>
          <w:rFonts w:ascii="Times New Roman" w:eastAsia="Times New Roman" w:hAnsi="Times New Roman" w:cs="Times New Roman"/>
          <w:color w:val="000000"/>
          <w:sz w:val="24"/>
          <w:szCs w:val="24"/>
          <w:lang w:eastAsia="uk-UA" w:bidi="uk-UA"/>
        </w:rPr>
        <w:t xml:space="preserve"> 2017 році в</w:t>
      </w:r>
      <w:r w:rsidRPr="00207F89">
        <w:rPr>
          <w:rFonts w:ascii="Times New Roman" w:eastAsia="Times New Roman" w:hAnsi="Times New Roman" w:cs="Times New Roman"/>
          <w:color w:val="000000"/>
          <w:sz w:val="24"/>
          <w:szCs w:val="24"/>
          <w:lang w:eastAsia="uk-UA" w:bidi="uk-UA"/>
        </w:rPr>
        <w:t xml:space="preserve"> провадженні Львівського окружного адміністративного суду</w:t>
      </w:r>
      <w:r>
        <w:rPr>
          <w:rFonts w:ascii="Times New Roman" w:eastAsia="Times New Roman" w:hAnsi="Times New Roman" w:cs="Times New Roman"/>
          <w:color w:val="000000"/>
          <w:sz w:val="24"/>
          <w:szCs w:val="24"/>
          <w:lang w:eastAsia="uk-UA" w:bidi="uk-UA"/>
        </w:rPr>
        <w:t xml:space="preserve"> знаходилось 8580 справ і матеріалів, що на 6 % більше,</w:t>
      </w:r>
      <w:r w:rsidRPr="00207F89">
        <w:rPr>
          <w:rFonts w:ascii="Times New Roman" w:eastAsia="Times New Roman" w:hAnsi="Times New Roman" w:cs="Times New Roman"/>
          <w:color w:val="000000"/>
          <w:sz w:val="24"/>
          <w:szCs w:val="24"/>
          <w:lang w:eastAsia="uk-UA" w:bidi="uk-UA"/>
        </w:rPr>
        <w:t xml:space="preserve"> ніж у </w:t>
      </w:r>
      <w:r>
        <w:rPr>
          <w:rFonts w:ascii="Times New Roman" w:eastAsia="Times New Roman" w:hAnsi="Times New Roman" w:cs="Times New Roman"/>
          <w:color w:val="000000"/>
          <w:sz w:val="24"/>
          <w:szCs w:val="24"/>
          <w:lang w:eastAsia="uk-UA" w:bidi="uk-UA"/>
        </w:rPr>
        <w:t>відповідному періоді 2016 року</w:t>
      </w:r>
      <w:r w:rsidR="002859BE">
        <w:rPr>
          <w:rFonts w:ascii="Times New Roman" w:eastAsia="Times New Roman" w:hAnsi="Times New Roman" w:cs="Times New Roman"/>
          <w:color w:val="000000"/>
          <w:sz w:val="24"/>
          <w:szCs w:val="24"/>
          <w:lang w:eastAsia="uk-UA" w:bidi="uk-UA"/>
        </w:rPr>
        <w:t xml:space="preserve"> (8082)</w:t>
      </w:r>
      <w:r w:rsidRPr="00207F89">
        <w:rPr>
          <w:rFonts w:ascii="Times New Roman" w:eastAsia="Times New Roman" w:hAnsi="Times New Roman" w:cs="Times New Roman"/>
          <w:color w:val="000000"/>
          <w:sz w:val="24"/>
          <w:szCs w:val="24"/>
          <w:lang w:eastAsia="uk-UA" w:bidi="uk-UA"/>
        </w:rPr>
        <w:t>.</w:t>
      </w:r>
    </w:p>
    <w:p w:rsidR="00207F89" w:rsidRDefault="00207F89"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 xml:space="preserve">У звітний період 2017 року на розгляд суду надійшло </w:t>
      </w:r>
      <w:r>
        <w:rPr>
          <w:rFonts w:ascii="Times New Roman" w:eastAsia="Times New Roman" w:hAnsi="Times New Roman" w:cs="Times New Roman"/>
          <w:color w:val="000000"/>
          <w:sz w:val="24"/>
          <w:szCs w:val="24"/>
          <w:lang w:eastAsia="uk-UA" w:bidi="uk-UA"/>
        </w:rPr>
        <w:t>7443</w:t>
      </w:r>
      <w:r w:rsidRPr="00207F89">
        <w:rPr>
          <w:rFonts w:ascii="Times New Roman" w:eastAsia="Times New Roman" w:hAnsi="Times New Roman" w:cs="Times New Roman"/>
          <w:color w:val="000000"/>
          <w:sz w:val="24"/>
          <w:szCs w:val="24"/>
          <w:lang w:eastAsia="uk-UA" w:bidi="uk-UA"/>
        </w:rPr>
        <w:t xml:space="preserve"> справ і матеріалів</w:t>
      </w:r>
      <w:r w:rsidR="002F03F4">
        <w:rPr>
          <w:rFonts w:ascii="Times New Roman" w:eastAsia="Times New Roman" w:hAnsi="Times New Roman" w:cs="Times New Roman"/>
          <w:color w:val="000000"/>
          <w:sz w:val="24"/>
          <w:szCs w:val="24"/>
          <w:lang w:eastAsia="uk-UA" w:bidi="uk-UA"/>
        </w:rPr>
        <w:t>, що на 9%</w:t>
      </w:r>
      <w:r>
        <w:rPr>
          <w:rFonts w:ascii="Times New Roman" w:eastAsia="Times New Roman" w:hAnsi="Times New Roman" w:cs="Times New Roman"/>
          <w:color w:val="000000"/>
          <w:sz w:val="24"/>
          <w:szCs w:val="24"/>
          <w:lang w:eastAsia="uk-UA" w:bidi="uk-UA"/>
        </w:rPr>
        <w:t xml:space="preserve"> більше</w:t>
      </w:r>
      <w:r w:rsidRPr="00207F89">
        <w:rPr>
          <w:rFonts w:ascii="Times New Roman" w:eastAsia="Times New Roman" w:hAnsi="Times New Roman" w:cs="Times New Roman"/>
          <w:color w:val="000000"/>
          <w:sz w:val="24"/>
          <w:szCs w:val="24"/>
          <w:lang w:eastAsia="uk-UA" w:bidi="uk-UA"/>
        </w:rPr>
        <w:t xml:space="preserve"> порівняно із 2016 роком</w:t>
      </w:r>
      <w:r w:rsidR="002F03F4">
        <w:rPr>
          <w:rFonts w:ascii="Times New Roman" w:eastAsia="Times New Roman" w:hAnsi="Times New Roman" w:cs="Times New Roman"/>
          <w:color w:val="000000"/>
          <w:sz w:val="24"/>
          <w:szCs w:val="24"/>
          <w:lang w:eastAsia="uk-UA" w:bidi="uk-UA"/>
        </w:rPr>
        <w:t xml:space="preserve"> (6809)</w:t>
      </w:r>
      <w:r w:rsidRPr="00207F89">
        <w:rPr>
          <w:rFonts w:ascii="Times New Roman" w:eastAsia="Times New Roman" w:hAnsi="Times New Roman" w:cs="Times New Roman"/>
          <w:color w:val="000000"/>
          <w:sz w:val="24"/>
          <w:szCs w:val="24"/>
          <w:lang w:eastAsia="uk-UA" w:bidi="uk-UA"/>
        </w:rPr>
        <w:t>.</w:t>
      </w:r>
      <w:r w:rsidR="00730446">
        <w:rPr>
          <w:rFonts w:ascii="Times New Roman" w:eastAsia="Times New Roman" w:hAnsi="Times New Roman" w:cs="Times New Roman"/>
          <w:color w:val="000000"/>
          <w:sz w:val="24"/>
          <w:szCs w:val="24"/>
          <w:lang w:eastAsia="uk-UA" w:bidi="uk-UA"/>
        </w:rPr>
        <w:t xml:space="preserve"> Слід зауважити, що зі</w:t>
      </w:r>
      <w:r w:rsidR="002443E1">
        <w:rPr>
          <w:rFonts w:ascii="Times New Roman" w:eastAsia="Times New Roman" w:hAnsi="Times New Roman" w:cs="Times New Roman"/>
          <w:color w:val="000000"/>
          <w:sz w:val="24"/>
          <w:szCs w:val="24"/>
          <w:lang w:eastAsia="uk-UA" w:bidi="uk-UA"/>
        </w:rPr>
        <w:t xml:space="preserve"> зазначеної кількості надходження справи становлять 69% (5104), а матеріли 31% (2339).</w:t>
      </w:r>
    </w:p>
    <w:p w:rsidR="002F03F4" w:rsidRPr="00207F89" w:rsidRDefault="00D60B2F"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За 2017 рік співвідношення</w:t>
      </w:r>
      <w:r w:rsidR="00990391">
        <w:rPr>
          <w:rFonts w:ascii="Times New Roman" w:eastAsia="Times New Roman" w:hAnsi="Times New Roman" w:cs="Times New Roman"/>
          <w:color w:val="000000"/>
          <w:sz w:val="24"/>
          <w:szCs w:val="24"/>
          <w:lang w:eastAsia="uk-UA" w:bidi="uk-UA"/>
        </w:rPr>
        <w:t xml:space="preserve"> справ</w:t>
      </w:r>
      <w:r>
        <w:rPr>
          <w:rFonts w:ascii="Times New Roman" w:eastAsia="Times New Roman" w:hAnsi="Times New Roman" w:cs="Times New Roman"/>
          <w:color w:val="000000"/>
          <w:sz w:val="24"/>
          <w:szCs w:val="24"/>
          <w:lang w:eastAsia="uk-UA" w:bidi="uk-UA"/>
        </w:rPr>
        <w:t xml:space="preserve"> і матеріалів, що перебували на розгляді</w:t>
      </w:r>
      <w:r w:rsidR="00730446">
        <w:rPr>
          <w:rFonts w:ascii="Times New Roman" w:eastAsia="Times New Roman" w:hAnsi="Times New Roman" w:cs="Times New Roman"/>
          <w:color w:val="000000"/>
          <w:sz w:val="24"/>
          <w:szCs w:val="24"/>
          <w:lang w:eastAsia="uk-UA" w:bidi="uk-UA"/>
        </w:rPr>
        <w:t xml:space="preserve">, із </w:t>
      </w:r>
      <w:r>
        <w:rPr>
          <w:rFonts w:ascii="Times New Roman" w:eastAsia="Times New Roman" w:hAnsi="Times New Roman" w:cs="Times New Roman"/>
          <w:color w:val="000000"/>
          <w:sz w:val="24"/>
          <w:szCs w:val="24"/>
          <w:lang w:eastAsia="uk-UA" w:bidi="uk-UA"/>
        </w:rPr>
        <w:t>справ</w:t>
      </w:r>
      <w:r w:rsidR="002859BE">
        <w:rPr>
          <w:rFonts w:ascii="Times New Roman" w:eastAsia="Times New Roman" w:hAnsi="Times New Roman" w:cs="Times New Roman"/>
          <w:color w:val="000000"/>
          <w:sz w:val="24"/>
          <w:szCs w:val="24"/>
          <w:lang w:eastAsia="uk-UA" w:bidi="uk-UA"/>
        </w:rPr>
        <w:t>ами</w:t>
      </w:r>
      <w:r>
        <w:rPr>
          <w:rFonts w:ascii="Times New Roman" w:eastAsia="Times New Roman" w:hAnsi="Times New Roman" w:cs="Times New Roman"/>
          <w:color w:val="000000"/>
          <w:sz w:val="24"/>
          <w:szCs w:val="24"/>
          <w:lang w:eastAsia="uk-UA" w:bidi="uk-UA"/>
        </w:rPr>
        <w:t xml:space="preserve"> і матеріалами, які надійшли</w:t>
      </w:r>
      <w:r w:rsidR="00730446">
        <w:rPr>
          <w:rFonts w:ascii="Times New Roman" w:eastAsia="Times New Roman" w:hAnsi="Times New Roman" w:cs="Times New Roman"/>
          <w:color w:val="000000"/>
          <w:sz w:val="24"/>
          <w:szCs w:val="24"/>
          <w:lang w:eastAsia="uk-UA" w:bidi="uk-UA"/>
        </w:rPr>
        <w:t>,</w:t>
      </w:r>
      <w:r w:rsidR="00990391">
        <w:rPr>
          <w:rFonts w:ascii="Times New Roman" w:eastAsia="Times New Roman" w:hAnsi="Times New Roman" w:cs="Times New Roman"/>
          <w:color w:val="000000"/>
          <w:sz w:val="24"/>
          <w:szCs w:val="24"/>
          <w:lang w:eastAsia="uk-UA" w:bidi="uk-UA"/>
        </w:rPr>
        <w:t xml:space="preserve"> становить 13 %, в 2016 році така різниця становила 16 %, а в 2015 році різниця становила 19 %. Дане співвідношення вказує на збільшення кількості справ та матеріалів, що надходять на розгляд суду. </w:t>
      </w:r>
    </w:p>
    <w:p w:rsidR="00207F89" w:rsidRPr="00207F89" w:rsidRDefault="00207F89" w:rsidP="00207F89">
      <w:pPr>
        <w:widowControl w:val="0"/>
        <w:spacing w:after="0" w:line="0" w:lineRule="atLeast"/>
        <w:ind w:firstLine="780"/>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Збільшення</w:t>
      </w:r>
      <w:r w:rsidRPr="00207F89">
        <w:rPr>
          <w:rFonts w:ascii="Times New Roman" w:eastAsia="Times New Roman" w:hAnsi="Times New Roman" w:cs="Times New Roman"/>
          <w:sz w:val="24"/>
          <w:szCs w:val="24"/>
          <w:lang w:eastAsia="uk-UA" w:bidi="uk-UA"/>
        </w:rPr>
        <w:t xml:space="preserve"> кількості надходження справ і матеріалів вплинула і на кіль</w:t>
      </w:r>
      <w:r>
        <w:rPr>
          <w:rFonts w:ascii="Times New Roman" w:eastAsia="Times New Roman" w:hAnsi="Times New Roman" w:cs="Times New Roman"/>
          <w:sz w:val="24"/>
          <w:szCs w:val="24"/>
          <w:lang w:eastAsia="uk-UA" w:bidi="uk-UA"/>
        </w:rPr>
        <w:t>кість розгляду справ за рік</w:t>
      </w:r>
      <w:r w:rsidRPr="00207F89">
        <w:rPr>
          <w:rFonts w:ascii="Times New Roman" w:eastAsia="Times New Roman" w:hAnsi="Times New Roman" w:cs="Times New Roman"/>
          <w:sz w:val="24"/>
          <w:szCs w:val="24"/>
          <w:lang w:eastAsia="uk-UA" w:bidi="uk-UA"/>
        </w:rPr>
        <w:t xml:space="preserve">. Так, у звітний </w:t>
      </w:r>
      <w:r>
        <w:rPr>
          <w:rFonts w:ascii="Times New Roman" w:eastAsia="Times New Roman" w:hAnsi="Times New Roman" w:cs="Times New Roman"/>
          <w:sz w:val="24"/>
          <w:szCs w:val="24"/>
          <w:lang w:eastAsia="uk-UA" w:bidi="uk-UA"/>
        </w:rPr>
        <w:t>період 2017 року</w:t>
      </w:r>
      <w:r w:rsidR="00730446">
        <w:rPr>
          <w:rFonts w:ascii="Times New Roman" w:eastAsia="Times New Roman" w:hAnsi="Times New Roman" w:cs="Times New Roman"/>
          <w:sz w:val="24"/>
          <w:szCs w:val="24"/>
          <w:lang w:eastAsia="uk-UA" w:bidi="uk-UA"/>
        </w:rPr>
        <w:t xml:space="preserve"> було</w:t>
      </w:r>
      <w:r>
        <w:rPr>
          <w:rFonts w:ascii="Times New Roman" w:eastAsia="Times New Roman" w:hAnsi="Times New Roman" w:cs="Times New Roman"/>
          <w:sz w:val="24"/>
          <w:szCs w:val="24"/>
          <w:lang w:eastAsia="uk-UA" w:bidi="uk-UA"/>
        </w:rPr>
        <w:t xml:space="preserve"> розглянуто 6891</w:t>
      </w:r>
      <w:r w:rsidRPr="00207F89">
        <w:rPr>
          <w:rFonts w:ascii="Times New Roman" w:eastAsia="Times New Roman" w:hAnsi="Times New Roman" w:cs="Times New Roman"/>
          <w:sz w:val="24"/>
          <w:szCs w:val="24"/>
          <w:lang w:eastAsia="uk-UA" w:bidi="uk-UA"/>
        </w:rPr>
        <w:t xml:space="preserve"> справ і матеріалів, що н</w:t>
      </w:r>
      <w:r w:rsidR="00512A46">
        <w:rPr>
          <w:rFonts w:ascii="Times New Roman" w:eastAsia="Times New Roman" w:hAnsi="Times New Roman" w:cs="Times New Roman"/>
          <w:sz w:val="24"/>
          <w:szCs w:val="24"/>
          <w:lang w:eastAsia="uk-UA" w:bidi="uk-UA"/>
        </w:rPr>
        <w:t>а 70</w:t>
      </w:r>
      <w:r w:rsidR="00730446">
        <w:rPr>
          <w:rFonts w:ascii="Times New Roman" w:eastAsia="Times New Roman" w:hAnsi="Times New Roman" w:cs="Times New Roman"/>
          <w:sz w:val="24"/>
          <w:szCs w:val="24"/>
          <w:lang w:eastAsia="uk-UA" w:bidi="uk-UA"/>
        </w:rPr>
        <w:t xml:space="preserve"> одиниць</w:t>
      </w:r>
      <w:r w:rsidR="00EA331F">
        <w:rPr>
          <w:rFonts w:ascii="Times New Roman" w:eastAsia="Times New Roman" w:hAnsi="Times New Roman" w:cs="Times New Roman"/>
          <w:sz w:val="24"/>
          <w:szCs w:val="24"/>
          <w:lang w:eastAsia="uk-UA" w:bidi="uk-UA"/>
        </w:rPr>
        <w:t xml:space="preserve"> </w:t>
      </w:r>
      <w:r w:rsidRPr="00207F89">
        <w:rPr>
          <w:rFonts w:ascii="Times New Roman" w:eastAsia="Times New Roman" w:hAnsi="Times New Roman" w:cs="Times New Roman"/>
          <w:sz w:val="24"/>
          <w:szCs w:val="24"/>
          <w:lang w:eastAsia="uk-UA" w:bidi="uk-UA"/>
        </w:rPr>
        <w:t>менше по</w:t>
      </w:r>
      <w:r>
        <w:rPr>
          <w:rFonts w:ascii="Times New Roman" w:eastAsia="Times New Roman" w:hAnsi="Times New Roman" w:cs="Times New Roman"/>
          <w:sz w:val="24"/>
          <w:szCs w:val="24"/>
          <w:lang w:eastAsia="uk-UA" w:bidi="uk-UA"/>
        </w:rPr>
        <w:t>рівняно із 2016 роком</w:t>
      </w:r>
      <w:r w:rsidRPr="00207F89">
        <w:rPr>
          <w:rFonts w:ascii="Times New Roman" w:eastAsia="Times New Roman" w:hAnsi="Times New Roman" w:cs="Times New Roman"/>
          <w:sz w:val="24"/>
          <w:szCs w:val="24"/>
          <w:lang w:eastAsia="uk-UA" w:bidi="uk-UA"/>
        </w:rPr>
        <w:t>.</w:t>
      </w:r>
    </w:p>
    <w:p w:rsidR="00512A46" w:rsidRDefault="00207F89" w:rsidP="00207F89">
      <w:pPr>
        <w:widowControl w:val="0"/>
        <w:spacing w:after="0" w:line="0" w:lineRule="atLeast"/>
        <w:ind w:firstLine="780"/>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Тенденція збільшення надходження справ і матеріалів вплинула на</w:t>
      </w:r>
      <w:r w:rsidR="00730446">
        <w:rPr>
          <w:rFonts w:ascii="Times New Roman" w:eastAsia="Times New Roman" w:hAnsi="Times New Roman" w:cs="Times New Roman"/>
          <w:sz w:val="24"/>
          <w:szCs w:val="24"/>
          <w:lang w:eastAsia="uk-UA" w:bidi="uk-UA"/>
        </w:rPr>
        <w:t xml:space="preserve"> кількість</w:t>
      </w:r>
      <w:r w:rsidRPr="00207F89">
        <w:rPr>
          <w:rFonts w:ascii="Times New Roman" w:eastAsia="Times New Roman" w:hAnsi="Times New Roman" w:cs="Times New Roman"/>
          <w:sz w:val="24"/>
          <w:szCs w:val="24"/>
          <w:lang w:eastAsia="uk-UA" w:bidi="uk-UA"/>
        </w:rPr>
        <w:t xml:space="preserve"> н</w:t>
      </w:r>
      <w:r>
        <w:rPr>
          <w:rFonts w:ascii="Times New Roman" w:eastAsia="Times New Roman" w:hAnsi="Times New Roman" w:cs="Times New Roman"/>
          <w:sz w:val="24"/>
          <w:szCs w:val="24"/>
          <w:lang w:eastAsia="uk-UA" w:bidi="uk-UA"/>
        </w:rPr>
        <w:t>ерозглянутих справ</w:t>
      </w:r>
      <w:r w:rsidRPr="00207F89">
        <w:rPr>
          <w:rFonts w:ascii="Times New Roman" w:eastAsia="Times New Roman" w:hAnsi="Times New Roman" w:cs="Times New Roman"/>
          <w:sz w:val="24"/>
          <w:szCs w:val="24"/>
          <w:lang w:eastAsia="uk-UA" w:bidi="uk-UA"/>
        </w:rPr>
        <w:t>. Зокре</w:t>
      </w:r>
      <w:r>
        <w:rPr>
          <w:rFonts w:ascii="Times New Roman" w:eastAsia="Times New Roman" w:hAnsi="Times New Roman" w:cs="Times New Roman"/>
          <w:sz w:val="24"/>
          <w:szCs w:val="24"/>
          <w:lang w:eastAsia="uk-UA" w:bidi="uk-UA"/>
        </w:rPr>
        <w:t>ма, на кінець звітного періоду</w:t>
      </w:r>
      <w:r w:rsidRPr="00207F89">
        <w:rPr>
          <w:rFonts w:ascii="Times New Roman" w:eastAsia="Times New Roman" w:hAnsi="Times New Roman" w:cs="Times New Roman"/>
          <w:sz w:val="24"/>
          <w:szCs w:val="24"/>
          <w:lang w:eastAsia="uk-UA" w:bidi="uk-UA"/>
        </w:rPr>
        <w:t xml:space="preserve"> 2017 року залишилис</w:t>
      </w:r>
      <w:r>
        <w:rPr>
          <w:rFonts w:ascii="Times New Roman" w:eastAsia="Times New Roman" w:hAnsi="Times New Roman" w:cs="Times New Roman"/>
          <w:sz w:val="24"/>
          <w:szCs w:val="24"/>
          <w:lang w:eastAsia="uk-UA" w:bidi="uk-UA"/>
        </w:rPr>
        <w:t>ь нерозглянутими 1707</w:t>
      </w:r>
      <w:r w:rsidR="00EA331F">
        <w:rPr>
          <w:rFonts w:ascii="Times New Roman" w:eastAsia="Times New Roman" w:hAnsi="Times New Roman" w:cs="Times New Roman"/>
          <w:sz w:val="24"/>
          <w:szCs w:val="24"/>
          <w:lang w:eastAsia="uk-UA" w:bidi="uk-UA"/>
        </w:rPr>
        <w:t xml:space="preserve"> справ і матеріалів, що на 568 одиниць більше</w:t>
      </w:r>
      <w:r w:rsidRPr="00207F89">
        <w:rPr>
          <w:rFonts w:ascii="Times New Roman" w:eastAsia="Times New Roman" w:hAnsi="Times New Roman" w:cs="Times New Roman"/>
          <w:sz w:val="24"/>
          <w:szCs w:val="24"/>
          <w:lang w:eastAsia="uk-UA" w:bidi="uk-UA"/>
        </w:rPr>
        <w:t xml:space="preserve"> порівн</w:t>
      </w:r>
      <w:r w:rsidR="00730446">
        <w:rPr>
          <w:rFonts w:ascii="Times New Roman" w:eastAsia="Times New Roman" w:hAnsi="Times New Roman" w:cs="Times New Roman"/>
          <w:sz w:val="24"/>
          <w:szCs w:val="24"/>
          <w:lang w:eastAsia="uk-UA" w:bidi="uk-UA"/>
        </w:rPr>
        <w:t>яно зі</w:t>
      </w:r>
      <w:r w:rsidR="00EA331F">
        <w:rPr>
          <w:rFonts w:ascii="Times New Roman" w:eastAsia="Times New Roman" w:hAnsi="Times New Roman" w:cs="Times New Roman"/>
          <w:sz w:val="24"/>
          <w:szCs w:val="24"/>
          <w:lang w:eastAsia="uk-UA" w:bidi="uk-UA"/>
        </w:rPr>
        <w:t xml:space="preserve"> 2016 роком</w:t>
      </w:r>
      <w:r w:rsidRPr="00207F89">
        <w:rPr>
          <w:rFonts w:ascii="Times New Roman" w:eastAsia="Times New Roman" w:hAnsi="Times New Roman" w:cs="Times New Roman"/>
          <w:sz w:val="24"/>
          <w:szCs w:val="24"/>
          <w:lang w:eastAsia="uk-UA" w:bidi="uk-UA"/>
        </w:rPr>
        <w:t>.</w:t>
      </w:r>
    </w:p>
    <w:p w:rsidR="00D60B2F" w:rsidRDefault="00D60B2F" w:rsidP="00207F89">
      <w:pPr>
        <w:widowControl w:val="0"/>
        <w:spacing w:after="0" w:line="0" w:lineRule="atLeast"/>
        <w:ind w:firstLine="780"/>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 xml:space="preserve">У 2015 та 2016 роках прослідковувалась тенденція перевищення кількості розглянутих справ і матеріалів над кількістю справ і матеріалів, що надійшли у відповідному періоді. Однак, у 2017 році ця тенденція не була дотримана. Це можна пояснити значним напливом справ та матеріалів у кінці року. Динаміка надходження справ у 2017 році </w:t>
      </w:r>
      <w:r w:rsidR="001D5622">
        <w:rPr>
          <w:rFonts w:ascii="Times New Roman" w:eastAsia="Times New Roman" w:hAnsi="Times New Roman" w:cs="Times New Roman"/>
          <w:sz w:val="24"/>
          <w:szCs w:val="24"/>
          <w:lang w:eastAsia="uk-UA" w:bidi="uk-UA"/>
        </w:rPr>
        <w:t>відображена у графіку</w:t>
      </w:r>
      <w:r>
        <w:rPr>
          <w:rFonts w:ascii="Times New Roman" w:eastAsia="Times New Roman" w:hAnsi="Times New Roman" w:cs="Times New Roman"/>
          <w:sz w:val="24"/>
          <w:szCs w:val="24"/>
          <w:lang w:eastAsia="uk-UA" w:bidi="uk-UA"/>
        </w:rPr>
        <w:t>.</w:t>
      </w:r>
    </w:p>
    <w:p w:rsidR="00D60B2F" w:rsidRDefault="00D60B2F" w:rsidP="00207F89">
      <w:pPr>
        <w:widowControl w:val="0"/>
        <w:spacing w:after="0" w:line="0" w:lineRule="atLeast"/>
        <w:ind w:firstLine="780"/>
        <w:jc w:val="both"/>
        <w:rPr>
          <w:rFonts w:ascii="Times New Roman" w:eastAsia="Times New Roman" w:hAnsi="Times New Roman" w:cs="Times New Roman"/>
          <w:sz w:val="24"/>
          <w:szCs w:val="24"/>
          <w:lang w:eastAsia="uk-UA" w:bidi="uk-UA"/>
        </w:rPr>
      </w:pPr>
    </w:p>
    <w:p w:rsidR="001D5622" w:rsidRDefault="001D5622" w:rsidP="00730446">
      <w:pPr>
        <w:widowControl w:val="0"/>
        <w:spacing w:after="0" w:line="0" w:lineRule="atLeast"/>
        <w:ind w:firstLine="284"/>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noProof/>
          <w:sz w:val="24"/>
          <w:szCs w:val="24"/>
          <w:lang w:eastAsia="uk-UA"/>
        </w:rPr>
        <w:drawing>
          <wp:inline distT="0" distB="0" distL="0" distR="0">
            <wp:extent cx="5785485" cy="3726180"/>
            <wp:effectExtent l="0" t="0" r="5715"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7147" w:rsidRPr="00207F89" w:rsidRDefault="00AF7147" w:rsidP="00AF7147">
      <w:pPr>
        <w:widowControl w:val="0"/>
        <w:spacing w:after="0" w:line="0" w:lineRule="atLeast"/>
        <w:jc w:val="both"/>
        <w:rPr>
          <w:rFonts w:ascii="Times New Roman" w:eastAsia="Times New Roman" w:hAnsi="Times New Roman" w:cs="Times New Roman"/>
          <w:sz w:val="24"/>
          <w:szCs w:val="24"/>
          <w:lang w:eastAsia="uk-UA" w:bidi="uk-UA"/>
        </w:rPr>
      </w:pPr>
    </w:p>
    <w:p w:rsidR="004D5070" w:rsidRDefault="004D5070" w:rsidP="00207F89">
      <w:pPr>
        <w:widowControl w:val="0"/>
        <w:spacing w:after="0" w:line="0" w:lineRule="atLeast"/>
        <w:ind w:firstLine="780"/>
        <w:jc w:val="both"/>
        <w:rPr>
          <w:rFonts w:ascii="Times New Roman" w:eastAsia="Times New Roman" w:hAnsi="Times New Roman" w:cs="Times New Roman"/>
          <w:sz w:val="24"/>
          <w:szCs w:val="24"/>
          <w:lang w:eastAsia="uk-UA" w:bidi="uk-UA"/>
        </w:rPr>
      </w:pPr>
    </w:p>
    <w:p w:rsidR="002859BE" w:rsidRDefault="00207F89" w:rsidP="00207F89">
      <w:pPr>
        <w:widowControl w:val="0"/>
        <w:spacing w:after="0" w:line="0" w:lineRule="atLeast"/>
        <w:ind w:firstLine="780"/>
        <w:jc w:val="both"/>
        <w:rPr>
          <w:rFonts w:ascii="Times New Roman" w:eastAsia="Times New Roman" w:hAnsi="Times New Roman" w:cs="Times New Roman"/>
          <w:sz w:val="24"/>
          <w:szCs w:val="24"/>
          <w:lang w:eastAsia="uk-UA" w:bidi="uk-UA"/>
        </w:rPr>
      </w:pPr>
      <w:r w:rsidRPr="00207F89">
        <w:rPr>
          <w:rFonts w:ascii="Times New Roman" w:eastAsia="Times New Roman" w:hAnsi="Times New Roman" w:cs="Times New Roman"/>
          <w:sz w:val="24"/>
          <w:szCs w:val="24"/>
          <w:lang w:eastAsia="uk-UA" w:bidi="uk-UA"/>
        </w:rPr>
        <w:t>Підсумовуючи інформацію можна кон</w:t>
      </w:r>
      <w:r w:rsidR="00EA331F">
        <w:rPr>
          <w:rFonts w:ascii="Times New Roman" w:eastAsia="Times New Roman" w:hAnsi="Times New Roman" w:cs="Times New Roman"/>
          <w:sz w:val="24"/>
          <w:szCs w:val="24"/>
          <w:lang w:eastAsia="uk-UA" w:bidi="uk-UA"/>
        </w:rPr>
        <w:t>статувати, що у</w:t>
      </w:r>
      <w:r w:rsidRPr="00207F89">
        <w:rPr>
          <w:rFonts w:ascii="Times New Roman" w:eastAsia="Times New Roman" w:hAnsi="Times New Roman" w:cs="Times New Roman"/>
          <w:sz w:val="24"/>
          <w:szCs w:val="24"/>
          <w:lang w:eastAsia="uk-UA" w:bidi="uk-UA"/>
        </w:rPr>
        <w:t xml:space="preserve"> 2017 року </w:t>
      </w:r>
      <w:r w:rsidR="00730446">
        <w:rPr>
          <w:rFonts w:ascii="Times New Roman" w:eastAsia="Times New Roman" w:hAnsi="Times New Roman" w:cs="Times New Roman"/>
          <w:sz w:val="24"/>
          <w:szCs w:val="24"/>
          <w:lang w:eastAsia="uk-UA" w:bidi="uk-UA"/>
        </w:rPr>
        <w:t>збільшила</w:t>
      </w:r>
      <w:r w:rsidR="00512A46">
        <w:rPr>
          <w:rFonts w:ascii="Times New Roman" w:eastAsia="Times New Roman" w:hAnsi="Times New Roman" w:cs="Times New Roman"/>
          <w:sz w:val="24"/>
          <w:szCs w:val="24"/>
          <w:lang w:eastAsia="uk-UA" w:bidi="uk-UA"/>
        </w:rPr>
        <w:t xml:space="preserve">сь кількість  надходження справ та матеріалів, при цьому зменшилась кількість розглянутих справ, а відтак збільшилась кількість нерозглянутих справ та матеріалів. </w:t>
      </w:r>
    </w:p>
    <w:p w:rsidR="000D0F36" w:rsidRDefault="002859BE" w:rsidP="00207F89">
      <w:pPr>
        <w:widowControl w:val="0"/>
        <w:spacing w:after="0" w:line="0" w:lineRule="atLeast"/>
        <w:ind w:firstLine="780"/>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Крім того, н</w:t>
      </w:r>
      <w:r w:rsidR="00207F89" w:rsidRPr="00207F89">
        <w:rPr>
          <w:rFonts w:ascii="Times New Roman" w:eastAsia="Times New Roman" w:hAnsi="Times New Roman" w:cs="Times New Roman"/>
          <w:sz w:val="24"/>
          <w:szCs w:val="24"/>
          <w:lang w:eastAsia="uk-UA" w:bidi="uk-UA"/>
        </w:rPr>
        <w:t xml:space="preserve">а базі </w:t>
      </w:r>
      <w:r w:rsidR="004D6A2F">
        <w:rPr>
          <w:rFonts w:ascii="Times New Roman" w:eastAsia="Times New Roman" w:hAnsi="Times New Roman" w:cs="Times New Roman"/>
          <w:sz w:val="24"/>
          <w:szCs w:val="24"/>
          <w:lang w:eastAsia="uk-UA" w:bidi="uk-UA"/>
        </w:rPr>
        <w:t xml:space="preserve">статистичних </w:t>
      </w:r>
      <w:r w:rsidR="00207F89" w:rsidRPr="00207F89">
        <w:rPr>
          <w:rFonts w:ascii="Times New Roman" w:eastAsia="Times New Roman" w:hAnsi="Times New Roman" w:cs="Times New Roman"/>
          <w:sz w:val="24"/>
          <w:szCs w:val="24"/>
          <w:lang w:eastAsia="uk-UA" w:bidi="uk-UA"/>
        </w:rPr>
        <w:t xml:space="preserve">показників </w:t>
      </w:r>
      <w:r w:rsidR="00730446">
        <w:rPr>
          <w:rFonts w:ascii="Times New Roman" w:eastAsia="Times New Roman" w:hAnsi="Times New Roman" w:cs="Times New Roman"/>
          <w:sz w:val="24"/>
          <w:szCs w:val="24"/>
          <w:lang w:eastAsia="uk-UA" w:bidi="uk-UA"/>
        </w:rPr>
        <w:t>у</w:t>
      </w:r>
      <w:r w:rsidR="004D6A2F">
        <w:rPr>
          <w:rFonts w:ascii="Times New Roman" w:eastAsia="Times New Roman" w:hAnsi="Times New Roman" w:cs="Times New Roman"/>
          <w:sz w:val="24"/>
          <w:szCs w:val="24"/>
          <w:lang w:eastAsia="uk-UA" w:bidi="uk-UA"/>
        </w:rPr>
        <w:t xml:space="preserve"> суді</w:t>
      </w:r>
      <w:r w:rsidR="00207F89" w:rsidRPr="00207F89">
        <w:rPr>
          <w:rFonts w:ascii="Times New Roman" w:eastAsia="Times New Roman" w:hAnsi="Times New Roman" w:cs="Times New Roman"/>
          <w:sz w:val="24"/>
          <w:szCs w:val="24"/>
          <w:lang w:eastAsia="uk-UA" w:bidi="uk-UA"/>
        </w:rPr>
        <w:t xml:space="preserve"> щомісячно проводився розрахуно</w:t>
      </w:r>
      <w:r w:rsidR="000D0F36">
        <w:rPr>
          <w:rFonts w:ascii="Times New Roman" w:eastAsia="Times New Roman" w:hAnsi="Times New Roman" w:cs="Times New Roman"/>
          <w:sz w:val="24"/>
          <w:szCs w:val="24"/>
          <w:lang w:eastAsia="uk-UA" w:bidi="uk-UA"/>
        </w:rPr>
        <w:t>к середньомісячно</w:t>
      </w:r>
      <w:r w:rsidR="000507EE">
        <w:rPr>
          <w:rFonts w:ascii="Times New Roman" w:eastAsia="Times New Roman" w:hAnsi="Times New Roman" w:cs="Times New Roman"/>
          <w:sz w:val="24"/>
          <w:szCs w:val="24"/>
          <w:lang w:eastAsia="uk-UA" w:bidi="uk-UA"/>
        </w:rPr>
        <w:t>го надходження справ і матеріалів</w:t>
      </w:r>
      <w:r w:rsidR="000D0F36">
        <w:rPr>
          <w:rFonts w:ascii="Times New Roman" w:eastAsia="Times New Roman" w:hAnsi="Times New Roman" w:cs="Times New Roman"/>
          <w:sz w:val="24"/>
          <w:szCs w:val="24"/>
          <w:lang w:eastAsia="uk-UA" w:bidi="uk-UA"/>
        </w:rPr>
        <w:t>.</w:t>
      </w:r>
    </w:p>
    <w:p w:rsidR="00990391" w:rsidRDefault="0050150C" w:rsidP="00207F89">
      <w:pPr>
        <w:widowControl w:val="0"/>
        <w:spacing w:after="0" w:line="0" w:lineRule="atLeast"/>
        <w:ind w:firstLine="780"/>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Порівняльна тенденція середньомісячного надходження справ та мат</w:t>
      </w:r>
      <w:r w:rsidR="00990391">
        <w:rPr>
          <w:rFonts w:ascii="Times New Roman" w:eastAsia="Times New Roman" w:hAnsi="Times New Roman" w:cs="Times New Roman"/>
          <w:sz w:val="24"/>
          <w:szCs w:val="24"/>
          <w:lang w:eastAsia="uk-UA" w:bidi="uk-UA"/>
        </w:rPr>
        <w:t xml:space="preserve">еріалів </w:t>
      </w:r>
      <w:r w:rsidR="00254BAE">
        <w:rPr>
          <w:rFonts w:ascii="Times New Roman" w:eastAsia="Times New Roman" w:hAnsi="Times New Roman" w:cs="Times New Roman"/>
          <w:sz w:val="24"/>
          <w:szCs w:val="24"/>
          <w:lang w:eastAsia="uk-UA" w:bidi="uk-UA"/>
        </w:rPr>
        <w:t xml:space="preserve">за 2015-2017 роки </w:t>
      </w:r>
      <w:r w:rsidR="00990391">
        <w:rPr>
          <w:rFonts w:ascii="Times New Roman" w:eastAsia="Times New Roman" w:hAnsi="Times New Roman" w:cs="Times New Roman"/>
          <w:sz w:val="24"/>
          <w:szCs w:val="24"/>
          <w:lang w:eastAsia="uk-UA" w:bidi="uk-UA"/>
        </w:rPr>
        <w:t xml:space="preserve">відображена у </w:t>
      </w:r>
      <w:r w:rsidR="004D5070">
        <w:rPr>
          <w:rFonts w:ascii="Times New Roman" w:eastAsia="Times New Roman" w:hAnsi="Times New Roman" w:cs="Times New Roman"/>
          <w:sz w:val="24"/>
          <w:szCs w:val="24"/>
          <w:lang w:eastAsia="uk-UA" w:bidi="uk-UA"/>
        </w:rPr>
        <w:t xml:space="preserve">наступній </w:t>
      </w:r>
      <w:r w:rsidR="00990391">
        <w:rPr>
          <w:rFonts w:ascii="Times New Roman" w:eastAsia="Times New Roman" w:hAnsi="Times New Roman" w:cs="Times New Roman"/>
          <w:sz w:val="24"/>
          <w:szCs w:val="24"/>
          <w:lang w:eastAsia="uk-UA" w:bidi="uk-UA"/>
        </w:rPr>
        <w:t>діаграмі.</w:t>
      </w:r>
    </w:p>
    <w:p w:rsidR="00AF7147" w:rsidRDefault="00AF7147" w:rsidP="00207F89">
      <w:pPr>
        <w:widowControl w:val="0"/>
        <w:spacing w:after="0" w:line="0" w:lineRule="atLeast"/>
        <w:ind w:firstLine="780"/>
        <w:jc w:val="both"/>
        <w:rPr>
          <w:rFonts w:ascii="Times New Roman" w:eastAsia="Times New Roman" w:hAnsi="Times New Roman" w:cs="Times New Roman"/>
          <w:sz w:val="24"/>
          <w:szCs w:val="24"/>
          <w:lang w:eastAsia="uk-UA" w:bidi="uk-UA"/>
        </w:rPr>
      </w:pPr>
    </w:p>
    <w:p w:rsidR="007422B4" w:rsidRDefault="008E36B4" w:rsidP="00207F89">
      <w:pPr>
        <w:widowControl w:val="0"/>
        <w:spacing w:after="0" w:line="0" w:lineRule="atLeast"/>
        <w:ind w:firstLine="780"/>
        <w:jc w:val="both"/>
        <w:rPr>
          <w:rFonts w:ascii="Times New Roman" w:eastAsia="Times New Roman" w:hAnsi="Times New Roman" w:cs="Times New Roman"/>
          <w:sz w:val="24"/>
          <w:szCs w:val="24"/>
          <w:lang w:eastAsia="uk-UA" w:bidi="uk-UA"/>
        </w:rPr>
      </w:pPr>
      <w:r w:rsidRPr="00A609CC">
        <w:rPr>
          <w:rFonts w:ascii="Times New Roman" w:eastAsia="Times New Roman" w:hAnsi="Times New Roman" w:cs="Times New Roman"/>
          <w:noProof/>
          <w:sz w:val="24"/>
          <w:szCs w:val="24"/>
          <w:bdr w:val="single" w:sz="4" w:space="0" w:color="auto"/>
          <w:lang w:eastAsia="uk-UA"/>
        </w:rPr>
        <w:lastRenderedPageBreak/>
        <w:drawing>
          <wp:inline distT="0" distB="0" distL="0" distR="0">
            <wp:extent cx="5487670" cy="2103120"/>
            <wp:effectExtent l="19050" t="0" r="1778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09CC" w:rsidRDefault="00A609CC" w:rsidP="00AF7147">
      <w:pPr>
        <w:widowControl w:val="0"/>
        <w:spacing w:after="0" w:line="0" w:lineRule="atLeast"/>
        <w:jc w:val="both"/>
        <w:rPr>
          <w:rFonts w:ascii="Times New Roman" w:eastAsia="Times New Roman" w:hAnsi="Times New Roman" w:cs="Times New Roman"/>
          <w:sz w:val="24"/>
          <w:szCs w:val="24"/>
          <w:lang w:eastAsia="uk-UA" w:bidi="uk-UA"/>
        </w:rPr>
      </w:pPr>
    </w:p>
    <w:p w:rsidR="00A609CC" w:rsidRDefault="0097491B" w:rsidP="00AF7147">
      <w:pPr>
        <w:widowControl w:val="0"/>
        <w:spacing w:after="0" w:line="0" w:lineRule="atLeast"/>
        <w:ind w:firstLine="780"/>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Як бачимо</w:t>
      </w:r>
      <w:r w:rsidR="00730446">
        <w:rPr>
          <w:rFonts w:ascii="Times New Roman" w:eastAsia="Times New Roman" w:hAnsi="Times New Roman" w:cs="Times New Roman"/>
          <w:sz w:val="24"/>
          <w:szCs w:val="24"/>
          <w:lang w:eastAsia="uk-UA" w:bidi="uk-UA"/>
        </w:rPr>
        <w:t>,</w:t>
      </w:r>
      <w:r>
        <w:rPr>
          <w:rFonts w:ascii="Times New Roman" w:eastAsia="Times New Roman" w:hAnsi="Times New Roman" w:cs="Times New Roman"/>
          <w:sz w:val="24"/>
          <w:szCs w:val="24"/>
          <w:lang w:eastAsia="uk-UA" w:bidi="uk-UA"/>
        </w:rPr>
        <w:t xml:space="preserve"> середньомісячне надходження справ та матеріалі</w:t>
      </w:r>
      <w:r w:rsidR="00730446">
        <w:rPr>
          <w:rFonts w:ascii="Times New Roman" w:eastAsia="Times New Roman" w:hAnsi="Times New Roman" w:cs="Times New Roman"/>
          <w:sz w:val="24"/>
          <w:szCs w:val="24"/>
          <w:lang w:eastAsia="uk-UA" w:bidi="uk-UA"/>
        </w:rPr>
        <w:t>в має тенденцію до збільшення, яке</w:t>
      </w:r>
      <w:r>
        <w:rPr>
          <w:rFonts w:ascii="Times New Roman" w:eastAsia="Times New Roman" w:hAnsi="Times New Roman" w:cs="Times New Roman"/>
          <w:sz w:val="24"/>
          <w:szCs w:val="24"/>
          <w:lang w:eastAsia="uk-UA" w:bidi="uk-UA"/>
        </w:rPr>
        <w:t xml:space="preserve"> у 2017 році збільшилось на 23 одиниці у порівняні із 2016 роком.</w:t>
      </w:r>
    </w:p>
    <w:p w:rsidR="00AB17A1" w:rsidRPr="00207F89" w:rsidRDefault="00AB17A1"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p>
    <w:p w:rsidR="00207F89" w:rsidRPr="00207F89" w:rsidRDefault="002D282B" w:rsidP="00207F89">
      <w:pPr>
        <w:widowControl w:val="0"/>
        <w:spacing w:after="0" w:line="0" w:lineRule="atLeast"/>
        <w:ind w:firstLine="780"/>
        <w:jc w:val="center"/>
        <w:rPr>
          <w:rFonts w:ascii="Times New Roman" w:eastAsia="Times New Roman" w:hAnsi="Times New Roman" w:cs="Times New Roman"/>
          <w:b/>
          <w:color w:val="000000"/>
          <w:sz w:val="24"/>
          <w:szCs w:val="24"/>
          <w:lang w:eastAsia="uk-UA" w:bidi="uk-UA"/>
        </w:rPr>
      </w:pPr>
      <w:r>
        <w:rPr>
          <w:rFonts w:ascii="Times New Roman" w:eastAsia="Times New Roman" w:hAnsi="Times New Roman" w:cs="Times New Roman"/>
          <w:b/>
          <w:color w:val="000000"/>
          <w:sz w:val="24"/>
          <w:szCs w:val="24"/>
          <w:lang w:eastAsia="uk-UA" w:bidi="uk-UA"/>
        </w:rPr>
        <w:t>ІІ. Категорії справ, що перебували на розгляді</w:t>
      </w:r>
      <w:r w:rsidR="00207F89" w:rsidRPr="00207F89">
        <w:rPr>
          <w:rFonts w:ascii="Times New Roman" w:eastAsia="Times New Roman" w:hAnsi="Times New Roman" w:cs="Times New Roman"/>
          <w:b/>
          <w:color w:val="000000"/>
          <w:sz w:val="24"/>
          <w:szCs w:val="24"/>
          <w:lang w:eastAsia="uk-UA" w:bidi="uk-UA"/>
        </w:rPr>
        <w:t xml:space="preserve"> </w:t>
      </w:r>
      <w:r w:rsidR="00730446">
        <w:rPr>
          <w:rFonts w:ascii="Times New Roman" w:eastAsia="Times New Roman" w:hAnsi="Times New Roman" w:cs="Times New Roman"/>
          <w:b/>
          <w:color w:val="000000"/>
          <w:sz w:val="24"/>
          <w:szCs w:val="24"/>
          <w:lang w:eastAsia="uk-UA" w:bidi="uk-UA"/>
        </w:rPr>
        <w:t>в суді</w:t>
      </w:r>
    </w:p>
    <w:p w:rsidR="00207F89" w:rsidRPr="00207F89" w:rsidRDefault="00207F89"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p>
    <w:p w:rsidR="00207F89" w:rsidRPr="00207F89" w:rsidRDefault="00207F89"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Рішенням Ради суддів адміністративних судів України № 114 від 31.10.2013 затверджено класифікатор категорій адміністративних справ, яким визначено 13 видів категорій справ, із них Львівським окружним адміністративним судом розглядається 12 категорій справ. Крім того, рішенням Ради суддів України № 46 від 09.06.2016 визначено коефіцієнти складності зазначених категорій справ.</w:t>
      </w:r>
    </w:p>
    <w:p w:rsidR="00207F89" w:rsidRPr="00207F89" w:rsidRDefault="000507EE"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У таблиці № 1</w:t>
      </w:r>
      <w:r w:rsidR="00207F89" w:rsidRPr="00207F89">
        <w:rPr>
          <w:rFonts w:ascii="Times New Roman" w:eastAsia="Times New Roman" w:hAnsi="Times New Roman" w:cs="Times New Roman"/>
          <w:color w:val="000000"/>
          <w:sz w:val="24"/>
          <w:szCs w:val="24"/>
          <w:lang w:eastAsia="uk-UA" w:bidi="uk-UA"/>
        </w:rPr>
        <w:t xml:space="preserve"> міститься порівняльна інформ</w:t>
      </w:r>
      <w:r w:rsidR="002D1B97">
        <w:rPr>
          <w:rFonts w:ascii="Times New Roman" w:eastAsia="Times New Roman" w:hAnsi="Times New Roman" w:cs="Times New Roman"/>
          <w:color w:val="000000"/>
          <w:sz w:val="24"/>
          <w:szCs w:val="24"/>
          <w:lang w:eastAsia="uk-UA" w:bidi="uk-UA"/>
        </w:rPr>
        <w:t xml:space="preserve">ація про </w:t>
      </w:r>
      <w:r w:rsidR="00730446">
        <w:rPr>
          <w:rFonts w:ascii="Times New Roman" w:eastAsia="Times New Roman" w:hAnsi="Times New Roman" w:cs="Times New Roman"/>
          <w:color w:val="000000"/>
          <w:sz w:val="24"/>
          <w:szCs w:val="24"/>
          <w:lang w:eastAsia="uk-UA" w:bidi="uk-UA"/>
        </w:rPr>
        <w:t>справи певних категорій</w:t>
      </w:r>
      <w:r w:rsidR="00207F89" w:rsidRPr="00207F89">
        <w:rPr>
          <w:rFonts w:ascii="Times New Roman" w:eastAsia="Times New Roman" w:hAnsi="Times New Roman" w:cs="Times New Roman"/>
          <w:color w:val="000000"/>
          <w:sz w:val="24"/>
          <w:szCs w:val="24"/>
          <w:lang w:eastAsia="uk-UA" w:bidi="uk-UA"/>
        </w:rPr>
        <w:t>, які перебувал</w:t>
      </w:r>
      <w:r w:rsidR="00F63213">
        <w:rPr>
          <w:rFonts w:ascii="Times New Roman" w:eastAsia="Times New Roman" w:hAnsi="Times New Roman" w:cs="Times New Roman"/>
          <w:color w:val="000000"/>
          <w:sz w:val="24"/>
          <w:szCs w:val="24"/>
          <w:lang w:eastAsia="uk-UA" w:bidi="uk-UA"/>
        </w:rPr>
        <w:t>и на розгляді у 2016 та 2017 роках</w:t>
      </w:r>
      <w:r w:rsidR="00207F89" w:rsidRPr="00207F89">
        <w:rPr>
          <w:rFonts w:ascii="Times New Roman" w:eastAsia="Times New Roman" w:hAnsi="Times New Roman" w:cs="Times New Roman"/>
          <w:color w:val="000000"/>
          <w:sz w:val="24"/>
          <w:szCs w:val="24"/>
          <w:lang w:eastAsia="uk-UA" w:bidi="uk-UA"/>
        </w:rPr>
        <w:t>.</w:t>
      </w:r>
    </w:p>
    <w:p w:rsidR="000507EE" w:rsidRDefault="000507EE" w:rsidP="00207F89">
      <w:pPr>
        <w:widowControl w:val="0"/>
        <w:spacing w:after="0" w:line="0" w:lineRule="atLeast"/>
        <w:ind w:firstLine="708"/>
        <w:jc w:val="right"/>
        <w:rPr>
          <w:rFonts w:ascii="Times New Roman" w:eastAsia="Times New Roman" w:hAnsi="Times New Roman" w:cs="Times New Roman"/>
          <w:sz w:val="24"/>
          <w:szCs w:val="24"/>
          <w:lang w:eastAsia="uk-UA"/>
        </w:rPr>
      </w:pPr>
    </w:p>
    <w:p w:rsidR="00207F89" w:rsidRPr="00207F89" w:rsidRDefault="00207F89" w:rsidP="00207F89">
      <w:pPr>
        <w:widowControl w:val="0"/>
        <w:spacing w:after="0" w:line="0" w:lineRule="atLeast"/>
        <w:ind w:firstLine="708"/>
        <w:jc w:val="right"/>
        <w:rPr>
          <w:rFonts w:ascii="Times New Roman" w:eastAsia="Times New Roman" w:hAnsi="Times New Roman" w:cs="Times New Roman"/>
          <w:sz w:val="24"/>
          <w:szCs w:val="24"/>
          <w:lang w:eastAsia="uk-UA"/>
        </w:rPr>
      </w:pPr>
      <w:r w:rsidRPr="00207F89">
        <w:rPr>
          <w:rFonts w:ascii="Times New Roman" w:eastAsia="Times New Roman" w:hAnsi="Times New Roman" w:cs="Times New Roman"/>
          <w:sz w:val="24"/>
          <w:szCs w:val="24"/>
          <w:lang w:eastAsia="uk-UA"/>
        </w:rPr>
        <w:t xml:space="preserve">Таблиця № </w:t>
      </w:r>
      <w:r w:rsidR="000507EE">
        <w:rPr>
          <w:rFonts w:ascii="Times New Roman" w:eastAsia="Times New Roman" w:hAnsi="Times New Roman" w:cs="Times New Roman"/>
          <w:sz w:val="24"/>
          <w:szCs w:val="24"/>
          <w:lang w:eastAsia="uk-UA"/>
        </w:rPr>
        <w:t>1</w:t>
      </w:r>
    </w:p>
    <w:tbl>
      <w:tblPr>
        <w:tblW w:w="511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168"/>
        <w:gridCol w:w="1481"/>
        <w:gridCol w:w="1366"/>
        <w:gridCol w:w="1366"/>
        <w:gridCol w:w="1362"/>
      </w:tblGrid>
      <w:tr w:rsidR="00207F89" w:rsidRPr="00207F89" w:rsidTr="00207F89">
        <w:trPr>
          <w:trHeight w:val="1058"/>
        </w:trPr>
        <w:tc>
          <w:tcPr>
            <w:tcW w:w="343" w:type="pct"/>
            <w:shd w:val="clear" w:color="auto" w:fill="auto"/>
            <w:hideMark/>
          </w:tcPr>
          <w:p w:rsidR="00207F89" w:rsidRPr="00207F89" w:rsidRDefault="00207F89" w:rsidP="00207F89">
            <w:pPr>
              <w:widowControl w:val="0"/>
              <w:shd w:val="clear" w:color="auto" w:fill="FFFFFF"/>
              <w:spacing w:after="0" w:line="0" w:lineRule="atLeast"/>
              <w:rPr>
                <w:rFonts w:ascii="Times New Roman" w:eastAsia="Times New Roman" w:hAnsi="Times New Roman" w:cs="Times New Roman"/>
                <w:b/>
                <w:bCs/>
                <w:lang w:eastAsia="uk-UA"/>
              </w:rPr>
            </w:pPr>
            <w:r w:rsidRPr="00207F89">
              <w:rPr>
                <w:rFonts w:ascii="Times New Roman" w:eastAsia="Times New Roman" w:hAnsi="Times New Roman" w:cs="Times New Roman"/>
                <w:b/>
                <w:bCs/>
                <w:lang w:eastAsia="uk-UA"/>
              </w:rPr>
              <w:t>№ п/п</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b/>
                <w:bCs/>
                <w:lang w:eastAsia="uk-UA"/>
              </w:rPr>
            </w:pPr>
            <w:r w:rsidRPr="00207F89">
              <w:rPr>
                <w:rFonts w:ascii="Times New Roman" w:eastAsia="Times New Roman" w:hAnsi="Times New Roman" w:cs="Times New Roman"/>
                <w:b/>
                <w:bCs/>
                <w:lang w:eastAsia="uk-UA"/>
              </w:rPr>
              <w:t>Категорії справ</w:t>
            </w:r>
          </w:p>
        </w:tc>
        <w:tc>
          <w:tcPr>
            <w:tcW w:w="708" w:type="pct"/>
            <w:shd w:val="clear" w:color="auto" w:fill="auto"/>
          </w:tcPr>
          <w:p w:rsidR="00207F89" w:rsidRPr="00207F89" w:rsidRDefault="00207F89" w:rsidP="00207F89">
            <w:pPr>
              <w:widowControl w:val="0"/>
              <w:shd w:val="clear" w:color="auto" w:fill="FFFFFF"/>
              <w:spacing w:after="0" w:line="0" w:lineRule="atLeast"/>
              <w:ind w:firstLine="34"/>
              <w:jc w:val="center"/>
              <w:rPr>
                <w:rFonts w:ascii="Times New Roman" w:eastAsia="Times New Roman" w:hAnsi="Times New Roman" w:cs="Times New Roman"/>
                <w:b/>
                <w:bCs/>
                <w:lang w:eastAsia="uk-UA"/>
              </w:rPr>
            </w:pPr>
            <w:r w:rsidRPr="00207F89">
              <w:rPr>
                <w:rFonts w:ascii="Times New Roman" w:eastAsia="Times New Roman" w:hAnsi="Times New Roman" w:cs="Times New Roman"/>
                <w:b/>
                <w:bCs/>
                <w:lang w:eastAsia="uk-UA"/>
              </w:rPr>
              <w:t>Коефіцієнт складності</w:t>
            </w:r>
          </w:p>
        </w:tc>
        <w:tc>
          <w:tcPr>
            <w:tcW w:w="653" w:type="pct"/>
          </w:tcPr>
          <w:p w:rsidR="00207F89" w:rsidRPr="00207F89" w:rsidRDefault="005463EF" w:rsidP="00207F89">
            <w:pPr>
              <w:widowControl w:val="0"/>
              <w:shd w:val="clear" w:color="auto" w:fill="FFFFFF"/>
              <w:spacing w:after="0" w:line="0" w:lineRule="atLeast"/>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2016 рік</w:t>
            </w:r>
          </w:p>
        </w:tc>
        <w:tc>
          <w:tcPr>
            <w:tcW w:w="653" w:type="pct"/>
          </w:tcPr>
          <w:p w:rsidR="00207F89" w:rsidRPr="00207F89" w:rsidRDefault="005463EF" w:rsidP="00207F89">
            <w:pPr>
              <w:widowControl w:val="0"/>
              <w:shd w:val="clear" w:color="auto" w:fill="FFFFFF"/>
              <w:spacing w:after="0" w:line="0" w:lineRule="atLeast"/>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2017 рік</w:t>
            </w:r>
          </w:p>
        </w:tc>
        <w:tc>
          <w:tcPr>
            <w:tcW w:w="651" w:type="pct"/>
            <w:shd w:val="clear" w:color="auto" w:fill="auto"/>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
                <w:bCs/>
                <w:lang w:eastAsia="uk-UA"/>
              </w:rPr>
            </w:pPr>
            <w:r w:rsidRPr="00207F89">
              <w:rPr>
                <w:rFonts w:ascii="Times New Roman" w:eastAsia="Times New Roman" w:hAnsi="Times New Roman" w:cs="Times New Roman"/>
                <w:b/>
                <w:bCs/>
                <w:lang w:eastAsia="uk-UA"/>
              </w:rPr>
              <w:t xml:space="preserve">Динаміка </w:t>
            </w:r>
          </w:p>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
                <w:bCs/>
                <w:lang w:eastAsia="uk-UA"/>
              </w:rPr>
            </w:pPr>
            <w:r w:rsidRPr="00207F89">
              <w:rPr>
                <w:rFonts w:ascii="Times New Roman" w:eastAsia="Times New Roman" w:hAnsi="Times New Roman" w:cs="Times New Roman"/>
                <w:b/>
                <w:bCs/>
                <w:lang w:eastAsia="uk-UA"/>
              </w:rPr>
              <w:t>порівняно з 2016 роком</w:t>
            </w:r>
          </w:p>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
                <w:bCs/>
                <w:lang w:eastAsia="uk-UA"/>
              </w:rPr>
            </w:pPr>
            <w:r w:rsidRPr="00207F89">
              <w:rPr>
                <w:rFonts w:ascii="Times New Roman" w:eastAsia="Times New Roman" w:hAnsi="Times New Roman" w:cs="Times New Roman"/>
                <w:b/>
                <w:bCs/>
                <w:lang w:eastAsia="uk-UA"/>
              </w:rPr>
              <w:t>+ &gt; -</w:t>
            </w:r>
          </w:p>
        </w:tc>
      </w:tr>
      <w:tr w:rsidR="00207F89" w:rsidRPr="00207F89" w:rsidTr="00207F89">
        <w:trPr>
          <w:trHeight w:val="392"/>
        </w:trPr>
        <w:tc>
          <w:tcPr>
            <w:tcW w:w="343" w:type="pct"/>
            <w:shd w:val="clear" w:color="auto" w:fill="auto"/>
          </w:tcPr>
          <w:p w:rsidR="00207F89" w:rsidRPr="00207F89" w:rsidRDefault="00207F89" w:rsidP="00207F89">
            <w:pPr>
              <w:widowControl w:val="0"/>
              <w:shd w:val="clear" w:color="auto" w:fill="FFFFFF"/>
              <w:spacing w:after="0" w:line="0" w:lineRule="atLeast"/>
              <w:ind w:left="-142" w:firstLine="142"/>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w:t>
            </w:r>
          </w:p>
        </w:tc>
        <w:tc>
          <w:tcPr>
            <w:tcW w:w="1992" w:type="pct"/>
            <w:shd w:val="clear" w:color="auto" w:fill="auto"/>
          </w:tcPr>
          <w:p w:rsidR="00207F89" w:rsidRPr="00207F89" w:rsidRDefault="00207F89" w:rsidP="00207F89">
            <w:pPr>
              <w:widowControl w:val="0"/>
              <w:shd w:val="clear" w:color="auto" w:fill="FFFFFF"/>
              <w:spacing w:after="0" w:line="0" w:lineRule="atLeast"/>
              <w:ind w:left="520"/>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2</w:t>
            </w:r>
          </w:p>
        </w:tc>
        <w:tc>
          <w:tcPr>
            <w:tcW w:w="708" w:type="pct"/>
            <w:shd w:val="clear" w:color="auto" w:fill="auto"/>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3</w:t>
            </w:r>
          </w:p>
        </w:tc>
        <w:tc>
          <w:tcPr>
            <w:tcW w:w="653" w:type="pct"/>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4</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5</w:t>
            </w:r>
          </w:p>
        </w:tc>
        <w:tc>
          <w:tcPr>
            <w:tcW w:w="651" w:type="pct"/>
            <w:shd w:val="clear" w:color="auto" w:fill="auto"/>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6</w:t>
            </w:r>
          </w:p>
        </w:tc>
      </w:tr>
      <w:tr w:rsidR="00207F89" w:rsidRPr="00207F89" w:rsidTr="00207F89">
        <w:trPr>
          <w:trHeight w:val="64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w:t>
            </w:r>
          </w:p>
        </w:tc>
        <w:tc>
          <w:tcPr>
            <w:tcW w:w="1992" w:type="pct"/>
            <w:shd w:val="clear" w:color="auto" w:fill="auto"/>
            <w:hideMark/>
          </w:tcPr>
          <w:p w:rsidR="00207F89" w:rsidRPr="00207F89" w:rsidRDefault="00455D14" w:rsidP="00207F89">
            <w:pPr>
              <w:widowControl w:val="0"/>
              <w:shd w:val="clear" w:color="auto" w:fill="FFFFFF"/>
              <w:spacing w:after="0" w:line="0" w:lineRule="atLeast"/>
              <w:ind w:left="34"/>
              <w:rPr>
                <w:rFonts w:ascii="Times New Roman" w:eastAsia="Times New Roman" w:hAnsi="Times New Roman" w:cs="Times New Roman"/>
                <w:b/>
                <w:bCs/>
                <w:lang w:eastAsia="uk-UA"/>
              </w:rPr>
            </w:pPr>
            <w:r>
              <w:rPr>
                <w:rFonts w:ascii="Times New Roman" w:eastAsia="Times New Roman" w:hAnsi="Times New Roman" w:cs="Times New Roman"/>
                <w:b/>
                <w:bCs/>
                <w:u w:val="single"/>
                <w:lang w:eastAsia="uk-UA"/>
              </w:rPr>
              <w:t xml:space="preserve">КАТЕГОРІЯ </w:t>
            </w:r>
            <w:r w:rsidRPr="00455D14">
              <w:rPr>
                <w:rFonts w:ascii="Times New Roman" w:eastAsia="Times New Roman" w:hAnsi="Times New Roman" w:cs="Times New Roman"/>
                <w:b/>
                <w:bCs/>
                <w:u w:val="single"/>
                <w:lang w:eastAsia="uk-UA"/>
              </w:rPr>
              <w:t xml:space="preserve"> 1</w:t>
            </w:r>
            <w:r w:rsidR="00207F89" w:rsidRPr="00207F89">
              <w:rPr>
                <w:rFonts w:ascii="Times New Roman" w:eastAsia="Times New Roman" w:hAnsi="Times New Roman" w:cs="Times New Roman"/>
                <w:b/>
                <w:bCs/>
                <w:lang w:eastAsia="uk-UA"/>
              </w:rPr>
              <w:t>Справи зі спорів з приводу забезпечення реалізації громадянами права голосу на виборах і референдумах</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0,91</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w:t>
            </w:r>
          </w:p>
        </w:tc>
        <w:tc>
          <w:tcPr>
            <w:tcW w:w="653" w:type="pct"/>
          </w:tcPr>
          <w:p w:rsidR="00207F89" w:rsidRPr="00207F89" w:rsidRDefault="00206C9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6</w:t>
            </w:r>
          </w:p>
        </w:tc>
        <w:tc>
          <w:tcPr>
            <w:tcW w:w="651" w:type="pct"/>
            <w:shd w:val="clear" w:color="auto" w:fill="auto"/>
          </w:tcPr>
          <w:p w:rsidR="00207F89" w:rsidRPr="00207F89" w:rsidRDefault="005463EF"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 5</w:t>
            </w:r>
          </w:p>
        </w:tc>
      </w:tr>
      <w:tr w:rsidR="00207F89" w:rsidRPr="00207F89" w:rsidTr="00207F89">
        <w:trPr>
          <w:trHeight w:val="111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2</w:t>
            </w:r>
          </w:p>
        </w:tc>
        <w:tc>
          <w:tcPr>
            <w:tcW w:w="1992" w:type="pct"/>
            <w:shd w:val="clear" w:color="auto" w:fill="auto"/>
            <w:hideMark/>
          </w:tcPr>
          <w:p w:rsidR="00207F89" w:rsidRPr="00207F89" w:rsidRDefault="00455D14" w:rsidP="00207F89">
            <w:pPr>
              <w:widowControl w:val="0"/>
              <w:shd w:val="clear" w:color="auto" w:fill="FFFFFF"/>
              <w:spacing w:after="0" w:line="0" w:lineRule="atLeast"/>
              <w:ind w:left="34"/>
              <w:rPr>
                <w:rFonts w:ascii="Times New Roman" w:eastAsia="Times New Roman" w:hAnsi="Times New Roman" w:cs="Times New Roman"/>
                <w:b/>
                <w:bCs/>
                <w:lang w:eastAsia="uk-UA"/>
              </w:rPr>
            </w:pPr>
            <w:r>
              <w:rPr>
                <w:rFonts w:ascii="Times New Roman" w:eastAsia="Times New Roman" w:hAnsi="Times New Roman" w:cs="Times New Roman"/>
                <w:b/>
                <w:bCs/>
                <w:u w:val="single"/>
                <w:lang w:eastAsia="uk-UA"/>
              </w:rPr>
              <w:t xml:space="preserve">КАТЕГОРІЯ  2 </w:t>
            </w:r>
            <w:r w:rsidR="00207F89" w:rsidRPr="00207F89">
              <w:rPr>
                <w:rFonts w:ascii="Times New Roman" w:eastAsia="Times New Roman" w:hAnsi="Times New Roman" w:cs="Times New Roman"/>
                <w:b/>
                <w:bCs/>
                <w:lang w:eastAsia="uk-UA"/>
              </w:rPr>
              <w:t>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зокрема зі спорів щодо:</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0,92</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42</w:t>
            </w:r>
          </w:p>
        </w:tc>
        <w:tc>
          <w:tcPr>
            <w:tcW w:w="653" w:type="pct"/>
          </w:tcPr>
          <w:p w:rsidR="00207F89" w:rsidRPr="00207F89" w:rsidRDefault="00206C9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48</w:t>
            </w:r>
          </w:p>
        </w:tc>
        <w:tc>
          <w:tcPr>
            <w:tcW w:w="651" w:type="pct"/>
            <w:shd w:val="clear" w:color="auto" w:fill="auto"/>
          </w:tcPr>
          <w:p w:rsidR="00207F89" w:rsidRPr="00207F89" w:rsidRDefault="005463EF"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 6</w:t>
            </w:r>
          </w:p>
        </w:tc>
      </w:tr>
      <w:tr w:rsidR="00207F89" w:rsidRPr="00207F89" w:rsidTr="00207F89">
        <w:trPr>
          <w:trHeight w:val="81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3</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забезпечення права особи на звернення до органів державної влади, органів місцевого самоврядування та  посадових і службових осіб цих органів</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1,02</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20</w:t>
            </w:r>
          </w:p>
        </w:tc>
        <w:tc>
          <w:tcPr>
            <w:tcW w:w="653" w:type="pct"/>
          </w:tcPr>
          <w:p w:rsidR="00207F89" w:rsidRPr="00207F89" w:rsidRDefault="00206C9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23</w:t>
            </w:r>
          </w:p>
        </w:tc>
        <w:tc>
          <w:tcPr>
            <w:tcW w:w="651" w:type="pct"/>
            <w:shd w:val="clear" w:color="auto" w:fill="auto"/>
          </w:tcPr>
          <w:p w:rsidR="00207F89" w:rsidRPr="00207F89" w:rsidRDefault="005463EF"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 3</w:t>
            </w:r>
          </w:p>
        </w:tc>
      </w:tr>
      <w:tr w:rsidR="00207F89" w:rsidRPr="00207F89" w:rsidTr="00207F89">
        <w:trPr>
          <w:trHeight w:val="40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4</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забезпечення права особи на доступ до публічної інформації</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1,36</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17</w:t>
            </w:r>
          </w:p>
        </w:tc>
        <w:tc>
          <w:tcPr>
            <w:tcW w:w="653" w:type="pct"/>
          </w:tcPr>
          <w:p w:rsidR="00207F89" w:rsidRPr="00207F89" w:rsidRDefault="00206C9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21</w:t>
            </w:r>
          </w:p>
        </w:tc>
        <w:tc>
          <w:tcPr>
            <w:tcW w:w="651" w:type="pct"/>
            <w:shd w:val="clear" w:color="auto" w:fill="auto"/>
          </w:tcPr>
          <w:p w:rsidR="00207F89" w:rsidRPr="00207F89" w:rsidRDefault="005463EF"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 4</w:t>
            </w:r>
          </w:p>
        </w:tc>
      </w:tr>
      <w:tr w:rsidR="00207F89" w:rsidRPr="00207F89" w:rsidTr="00207F89">
        <w:trPr>
          <w:trHeight w:val="81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5</w:t>
            </w:r>
          </w:p>
        </w:tc>
        <w:tc>
          <w:tcPr>
            <w:tcW w:w="1992" w:type="pct"/>
            <w:shd w:val="clear" w:color="auto" w:fill="auto"/>
            <w:hideMark/>
          </w:tcPr>
          <w:p w:rsidR="00207F89" w:rsidRPr="00207F89" w:rsidRDefault="00455D14" w:rsidP="00207F89">
            <w:pPr>
              <w:widowControl w:val="0"/>
              <w:shd w:val="clear" w:color="auto" w:fill="FFFFFF"/>
              <w:spacing w:after="0" w:line="0" w:lineRule="atLeast"/>
              <w:ind w:left="34"/>
              <w:rPr>
                <w:rFonts w:ascii="Times New Roman" w:eastAsia="Times New Roman" w:hAnsi="Times New Roman" w:cs="Times New Roman"/>
                <w:b/>
                <w:bCs/>
                <w:lang w:eastAsia="uk-UA"/>
              </w:rPr>
            </w:pPr>
            <w:r>
              <w:rPr>
                <w:rFonts w:ascii="Times New Roman" w:eastAsia="Times New Roman" w:hAnsi="Times New Roman" w:cs="Times New Roman"/>
                <w:b/>
                <w:bCs/>
                <w:u w:val="single"/>
                <w:lang w:eastAsia="uk-UA"/>
              </w:rPr>
              <w:t xml:space="preserve">КАТЕГОРІЯ  3 </w:t>
            </w:r>
            <w:r w:rsidR="00207F89" w:rsidRPr="00207F89">
              <w:rPr>
                <w:rFonts w:ascii="Times New Roman" w:eastAsia="Times New Roman" w:hAnsi="Times New Roman" w:cs="Times New Roman"/>
                <w:b/>
                <w:bCs/>
                <w:lang w:eastAsia="uk-UA"/>
              </w:rPr>
              <w:t>Справи зі спорів з приводу забезпечення громадського порядку та безпеки, національної безпеки та оборони України, зокрема зі спорів щодо:</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1,22</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255</w:t>
            </w:r>
          </w:p>
        </w:tc>
        <w:tc>
          <w:tcPr>
            <w:tcW w:w="653" w:type="pct"/>
          </w:tcPr>
          <w:p w:rsidR="00207F89" w:rsidRPr="00207F89" w:rsidRDefault="00EB5FEB"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233</w:t>
            </w:r>
          </w:p>
        </w:tc>
        <w:tc>
          <w:tcPr>
            <w:tcW w:w="651" w:type="pct"/>
            <w:shd w:val="clear" w:color="auto" w:fill="auto"/>
          </w:tcPr>
          <w:p w:rsidR="00207F89" w:rsidRPr="00207F89" w:rsidRDefault="005463EF"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 22</w:t>
            </w:r>
          </w:p>
        </w:tc>
      </w:tr>
      <w:tr w:rsidR="00207F89" w:rsidRPr="00207F89" w:rsidTr="00207F89">
        <w:trPr>
          <w:trHeight w:val="37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6</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правового статусу фізичної особи, у тому числі: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1,22</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88</w:t>
            </w:r>
          </w:p>
        </w:tc>
        <w:tc>
          <w:tcPr>
            <w:tcW w:w="653" w:type="pct"/>
          </w:tcPr>
          <w:p w:rsidR="00207F89" w:rsidRPr="00207F89" w:rsidRDefault="00EB5FEB"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82</w:t>
            </w:r>
          </w:p>
        </w:tc>
        <w:tc>
          <w:tcPr>
            <w:tcW w:w="651" w:type="pct"/>
            <w:shd w:val="clear" w:color="auto" w:fill="auto"/>
          </w:tcPr>
          <w:p w:rsidR="00207F89" w:rsidRPr="00207F89" w:rsidRDefault="005463EF"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 6</w:t>
            </w:r>
          </w:p>
        </w:tc>
      </w:tr>
      <w:tr w:rsidR="00207F89" w:rsidRPr="00207F89" w:rsidTr="00207F89">
        <w:trPr>
          <w:trHeight w:val="55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lastRenderedPageBreak/>
              <w:t>7</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реалізації владних управлінських функцій у сфері громадянства</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1,22</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6</w:t>
            </w:r>
          </w:p>
        </w:tc>
        <w:tc>
          <w:tcPr>
            <w:tcW w:w="653" w:type="pct"/>
          </w:tcPr>
          <w:p w:rsidR="00207F89" w:rsidRPr="00207F89" w:rsidRDefault="00EB5FEB"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8</w:t>
            </w:r>
          </w:p>
        </w:tc>
        <w:tc>
          <w:tcPr>
            <w:tcW w:w="651" w:type="pct"/>
            <w:shd w:val="clear" w:color="auto" w:fill="auto"/>
          </w:tcPr>
          <w:p w:rsidR="00207F89" w:rsidRPr="00207F89" w:rsidRDefault="005463EF"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 2</w:t>
            </w:r>
          </w:p>
        </w:tc>
      </w:tr>
      <w:tr w:rsidR="00207F89" w:rsidRPr="00207F89" w:rsidTr="00207F89">
        <w:trPr>
          <w:trHeight w:val="49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8</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реєстрації актів цивільного стану, крім актів громадянства</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1,22</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51</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36</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 15</w:t>
            </w:r>
          </w:p>
        </w:tc>
      </w:tr>
      <w:tr w:rsidR="00207F89" w:rsidRPr="00207F89" w:rsidTr="00207F89">
        <w:trPr>
          <w:trHeight w:val="51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9</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реєстрації та обмеження пересування і вільного вибору місця проживання</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1,22</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28</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35</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 7</w:t>
            </w:r>
          </w:p>
        </w:tc>
      </w:tr>
      <w:tr w:rsidR="00207F89" w:rsidRPr="00207F89" w:rsidTr="00207F89">
        <w:trPr>
          <w:trHeight w:val="109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10</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проведення зборів, мітингів, походів і демонстрацій; протидії діяльності товариств, установ, інших організацій, які посягають на конституційний лад та права і свободи громадян, у тому числі: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1,43</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3</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 3</w:t>
            </w:r>
          </w:p>
        </w:tc>
      </w:tr>
      <w:tr w:rsidR="00207F89" w:rsidRPr="00207F89" w:rsidTr="00207F89">
        <w:trPr>
          <w:trHeight w:val="40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11</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обмеження щодо реалізації права на мирні зібрання</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1,43</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3</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 3</w:t>
            </w:r>
          </w:p>
        </w:tc>
      </w:tr>
      <w:tr w:rsidR="00207F89" w:rsidRPr="00207F89" w:rsidTr="00207F89">
        <w:trPr>
          <w:trHeight w:val="39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12</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усунення обмежень у реалізації права на мирні зібрання</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1,43</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c>
          <w:tcPr>
            <w:tcW w:w="651" w:type="pct"/>
            <w:shd w:val="clear" w:color="auto" w:fill="auto"/>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r>
      <w:tr w:rsidR="00207F89" w:rsidRPr="00207F89" w:rsidTr="00207F89">
        <w:trPr>
          <w:trHeight w:val="48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13</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видворення з України іноземців або осіб без громадянства</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0,93</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c>
          <w:tcPr>
            <w:tcW w:w="651" w:type="pct"/>
            <w:shd w:val="clear" w:color="auto" w:fill="auto"/>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r>
      <w:tr w:rsidR="00207F89" w:rsidRPr="00207F89" w:rsidTr="00207F89">
        <w:trPr>
          <w:trHeight w:val="33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14</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біженців</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1,29</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15</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29</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 14</w:t>
            </w:r>
          </w:p>
        </w:tc>
      </w:tr>
      <w:tr w:rsidR="00207F89" w:rsidRPr="00207F89" w:rsidTr="00207F89">
        <w:trPr>
          <w:trHeight w:val="36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15</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цивільного захисту; охорони праці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1,22</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9</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 6</w:t>
            </w:r>
          </w:p>
        </w:tc>
      </w:tr>
      <w:tr w:rsidR="00207F89" w:rsidRPr="00207F89" w:rsidTr="00207F89">
        <w:trPr>
          <w:trHeight w:val="33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16</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охорони здоров’я</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1,22</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8</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11</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 3</w:t>
            </w:r>
          </w:p>
        </w:tc>
      </w:tr>
      <w:tr w:rsidR="00207F89" w:rsidRPr="00207F89" w:rsidTr="00207F89">
        <w:trPr>
          <w:trHeight w:val="45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17</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дорожнього руху; транспорту та перевезення пасажирів</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0,75</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112</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102</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 10</w:t>
            </w:r>
          </w:p>
        </w:tc>
      </w:tr>
      <w:tr w:rsidR="00207F89" w:rsidRPr="00207F89" w:rsidTr="00207F89">
        <w:trPr>
          <w:trHeight w:val="342"/>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18</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дорожнього руху</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0,75</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10</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18</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 8</w:t>
            </w:r>
          </w:p>
        </w:tc>
      </w:tr>
      <w:tr w:rsidR="00207F89" w:rsidRPr="00207F89" w:rsidTr="00207F89">
        <w:trPr>
          <w:trHeight w:val="42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19</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транспорту та перевезення пасажирів</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0,75</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96</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75</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 21</w:t>
            </w:r>
          </w:p>
        </w:tc>
      </w:tr>
      <w:tr w:rsidR="00207F89" w:rsidRPr="00207F89" w:rsidTr="00207F89">
        <w:trPr>
          <w:trHeight w:val="39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20</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обмеження здійснення грального бізнесу, у тому числі: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1,22</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0</w:t>
            </w:r>
          </w:p>
        </w:tc>
        <w:tc>
          <w:tcPr>
            <w:tcW w:w="651" w:type="pct"/>
            <w:shd w:val="clear" w:color="auto" w:fill="auto"/>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r>
      <w:tr w:rsidR="00207F89" w:rsidRPr="00207F89" w:rsidTr="00207F89">
        <w:trPr>
          <w:trHeight w:val="39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21</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спорів за участю органів доходів і зборів</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1,22</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c>
          <w:tcPr>
            <w:tcW w:w="651" w:type="pct"/>
            <w:shd w:val="clear" w:color="auto" w:fill="auto"/>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r>
      <w:tr w:rsidR="00207F89" w:rsidRPr="00207F89" w:rsidTr="00207F89">
        <w:trPr>
          <w:trHeight w:val="54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22</w:t>
            </w:r>
          </w:p>
        </w:tc>
        <w:tc>
          <w:tcPr>
            <w:tcW w:w="1992" w:type="pct"/>
            <w:shd w:val="clear" w:color="auto" w:fill="auto"/>
            <w:hideMark/>
          </w:tcPr>
          <w:p w:rsidR="00207F89" w:rsidRPr="00207F89" w:rsidRDefault="00455D14" w:rsidP="00207F89">
            <w:pPr>
              <w:widowControl w:val="0"/>
              <w:shd w:val="clear" w:color="auto" w:fill="FFFFFF"/>
              <w:spacing w:after="0" w:line="0" w:lineRule="atLeast"/>
              <w:ind w:left="34"/>
              <w:rPr>
                <w:rFonts w:ascii="Times New Roman" w:eastAsia="Times New Roman" w:hAnsi="Times New Roman" w:cs="Times New Roman"/>
                <w:b/>
                <w:bCs/>
                <w:lang w:eastAsia="uk-UA"/>
              </w:rPr>
            </w:pPr>
            <w:r>
              <w:rPr>
                <w:rFonts w:ascii="Times New Roman" w:eastAsia="Times New Roman" w:hAnsi="Times New Roman" w:cs="Times New Roman"/>
                <w:b/>
                <w:bCs/>
                <w:u w:val="single"/>
                <w:lang w:eastAsia="uk-UA"/>
              </w:rPr>
              <w:t xml:space="preserve">КАТЕГОРІЯ  4 </w:t>
            </w:r>
            <w:r w:rsidR="00207F89" w:rsidRPr="00207F89">
              <w:rPr>
                <w:rFonts w:ascii="Times New Roman" w:eastAsia="Times New Roman" w:hAnsi="Times New Roman" w:cs="Times New Roman"/>
                <w:b/>
                <w:bCs/>
                <w:lang w:eastAsia="uk-UA"/>
              </w:rPr>
              <w:t>Справи зі спорів з приводу реалізації державної політики у сфері освіти, науки, культури та спорту.</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27</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48</w:t>
            </w:r>
          </w:p>
        </w:tc>
        <w:tc>
          <w:tcPr>
            <w:tcW w:w="651" w:type="pct"/>
            <w:shd w:val="clear" w:color="auto" w:fill="auto"/>
          </w:tcPr>
          <w:p w:rsidR="00207F89" w:rsidRPr="00207F89" w:rsidRDefault="00C37EBF"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 xml:space="preserve">↑ </w:t>
            </w:r>
            <w:r w:rsidR="005463EF">
              <w:rPr>
                <w:rFonts w:ascii="Times New Roman" w:eastAsia="Times New Roman" w:hAnsi="Times New Roman" w:cs="Times New Roman"/>
                <w:bCs/>
                <w:lang w:eastAsia="uk-UA"/>
              </w:rPr>
              <w:t>21</w:t>
            </w:r>
          </w:p>
        </w:tc>
      </w:tr>
      <w:tr w:rsidR="00207F89" w:rsidRPr="00207F89" w:rsidTr="00207F89">
        <w:trPr>
          <w:trHeight w:val="58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23</w:t>
            </w:r>
          </w:p>
        </w:tc>
        <w:tc>
          <w:tcPr>
            <w:tcW w:w="1992" w:type="pct"/>
            <w:shd w:val="clear" w:color="auto" w:fill="auto"/>
            <w:hideMark/>
          </w:tcPr>
          <w:p w:rsidR="00207F89" w:rsidRPr="00207F89" w:rsidRDefault="00455D14" w:rsidP="00207F89">
            <w:pPr>
              <w:widowControl w:val="0"/>
              <w:shd w:val="clear" w:color="auto" w:fill="FFFFFF"/>
              <w:spacing w:after="0" w:line="0" w:lineRule="atLeast"/>
              <w:ind w:left="34"/>
              <w:rPr>
                <w:rFonts w:ascii="Times New Roman" w:eastAsia="Times New Roman" w:hAnsi="Times New Roman" w:cs="Times New Roman"/>
                <w:b/>
                <w:bCs/>
                <w:lang w:eastAsia="uk-UA"/>
              </w:rPr>
            </w:pPr>
            <w:r>
              <w:rPr>
                <w:rFonts w:ascii="Times New Roman" w:eastAsia="Times New Roman" w:hAnsi="Times New Roman" w:cs="Times New Roman"/>
                <w:b/>
                <w:bCs/>
                <w:u w:val="single"/>
                <w:lang w:eastAsia="uk-UA"/>
              </w:rPr>
              <w:t xml:space="preserve">КАТЕГОРІЯ  5 </w:t>
            </w:r>
            <w:r w:rsidR="00207F89" w:rsidRPr="00207F89">
              <w:rPr>
                <w:rFonts w:ascii="Times New Roman" w:eastAsia="Times New Roman" w:hAnsi="Times New Roman" w:cs="Times New Roman"/>
                <w:b/>
                <w:bCs/>
                <w:lang w:eastAsia="uk-UA"/>
              </w:rPr>
              <w:t>Справи зі спорів з приводу реалізації державної політики у сфері економіки, зокрема зі спорів щодо:</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0,94</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233</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269</w:t>
            </w:r>
          </w:p>
        </w:tc>
        <w:tc>
          <w:tcPr>
            <w:tcW w:w="651" w:type="pct"/>
            <w:shd w:val="clear" w:color="auto" w:fill="auto"/>
          </w:tcPr>
          <w:p w:rsidR="00207F89" w:rsidRPr="00207F89" w:rsidRDefault="00C37EBF"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 xml:space="preserve">↑ </w:t>
            </w:r>
            <w:r w:rsidR="005463EF">
              <w:rPr>
                <w:rFonts w:ascii="Times New Roman" w:eastAsia="Times New Roman" w:hAnsi="Times New Roman" w:cs="Times New Roman"/>
                <w:bCs/>
                <w:lang w:eastAsia="uk-UA"/>
              </w:rPr>
              <w:t>36</w:t>
            </w:r>
          </w:p>
        </w:tc>
      </w:tr>
      <w:tr w:rsidR="00207F89" w:rsidRPr="00207F89" w:rsidTr="00207F89">
        <w:trPr>
          <w:trHeight w:val="31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24</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організації господарської діяльності, у тому числі: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0,94</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173</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194</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21</w:t>
            </w:r>
          </w:p>
        </w:tc>
      </w:tr>
      <w:tr w:rsidR="00207F89" w:rsidRPr="00207F89" w:rsidTr="00207F89">
        <w:trPr>
          <w:trHeight w:val="60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25</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державної реєстрації юридичних осіб та фізичних осіб-підприємців</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0,94</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45</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26</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19</w:t>
            </w:r>
          </w:p>
        </w:tc>
      </w:tr>
      <w:tr w:rsidR="00207F89" w:rsidRPr="00207F89" w:rsidTr="00207F89">
        <w:trPr>
          <w:trHeight w:val="180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26</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дозвільної системи у сфері господарської діяльності; ліцензування певних видів підприємницької діяльності; нагляду (контролю) у сфері господарської діяльності; реалізації державної регуляторної політики у сфері господарської діяльності; розроблення  і  застосування національних стандартів технічних регламентів та процедур оцінки відповідності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0,94</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122</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160</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38</w:t>
            </w:r>
          </w:p>
        </w:tc>
      </w:tr>
      <w:tr w:rsidR="00207F89" w:rsidRPr="00207F89" w:rsidTr="00207F89">
        <w:trPr>
          <w:trHeight w:val="114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27</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митної справи (крім охорони прав на об’єкти інтелектуальної власності); зовнішньоекономічної діяльності; спеціальних заходів щодо демпінгового та іншого імпорту, у тому числі: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0,94</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44</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59</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15</w:t>
            </w:r>
          </w:p>
        </w:tc>
      </w:tr>
      <w:tr w:rsidR="00207F89" w:rsidRPr="00207F89" w:rsidTr="00207F89">
        <w:trPr>
          <w:trHeight w:val="79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lastRenderedPageBreak/>
              <w:t>28</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оскарження рішень, дій чи бездіяльності Державної митної служби та її органів щодо визначення коду товару за УКТЗЕД</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0,94</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4</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6</w:t>
            </w:r>
          </w:p>
        </w:tc>
      </w:tr>
      <w:tr w:rsidR="00207F89" w:rsidRPr="00207F89" w:rsidTr="00207F89">
        <w:trPr>
          <w:trHeight w:val="78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29</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оскарження рішень, дій чи бездіяльності Державної митної служби та її органів щодо визначення митної вартості товару</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0,94</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20</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26</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6</w:t>
            </w:r>
          </w:p>
        </w:tc>
      </w:tr>
      <w:tr w:rsidR="00207F89" w:rsidRPr="00207F89" w:rsidTr="00207F89">
        <w:trPr>
          <w:trHeight w:val="33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30</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захисту економічної конкуренції</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0,94</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без змін</w:t>
            </w:r>
          </w:p>
        </w:tc>
      </w:tr>
      <w:tr w:rsidR="00207F89" w:rsidRPr="00207F89" w:rsidTr="00207F89">
        <w:trPr>
          <w:trHeight w:val="33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31</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державного регулювання  цін і тарифів</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0,94</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2</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1</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w:t>
            </w:r>
          </w:p>
        </w:tc>
      </w:tr>
      <w:tr w:rsidR="00207F89" w:rsidRPr="00207F89" w:rsidTr="00207F89">
        <w:trPr>
          <w:trHeight w:val="106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32</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управління об'єктами державної (комунальної) власності, у тому числі про передачу об'єктів права державної та комунальної власності; здійснення державних закупівель</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0,94</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6</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3</w:t>
            </w:r>
          </w:p>
        </w:tc>
      </w:tr>
      <w:tr w:rsidR="00207F89" w:rsidRPr="00207F89" w:rsidTr="00207F89">
        <w:trPr>
          <w:trHeight w:val="63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33</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реалізації спеціальних владних управлінських функцій в окремих галузях економіки, у тому числі спори у сфері: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0,94</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5</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w:t>
            </w:r>
          </w:p>
        </w:tc>
      </w:tr>
      <w:tr w:rsidR="00207F89" w:rsidRPr="00207F89" w:rsidTr="00207F89">
        <w:trPr>
          <w:trHeight w:val="90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34</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електроенергетики (крім ядерної енергетики); енергозбереження, альтернативних джерел енергії, комбінованого виробництва електричної і теплової енергії</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0,94</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4</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2</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2</w:t>
            </w:r>
          </w:p>
        </w:tc>
      </w:tr>
      <w:tr w:rsidR="00207F89" w:rsidRPr="00207F89" w:rsidTr="00207F89">
        <w:trPr>
          <w:trHeight w:val="54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35</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житлово-комунального господарства; теплопостачання; питного водопостачання</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0,94</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w:t>
            </w:r>
          </w:p>
        </w:tc>
      </w:tr>
      <w:tr w:rsidR="00207F89" w:rsidRPr="00207F89" w:rsidTr="00207F89">
        <w:trPr>
          <w:trHeight w:val="81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36</w:t>
            </w:r>
          </w:p>
        </w:tc>
        <w:tc>
          <w:tcPr>
            <w:tcW w:w="1992" w:type="pct"/>
            <w:shd w:val="clear" w:color="auto" w:fill="auto"/>
            <w:hideMark/>
          </w:tcPr>
          <w:p w:rsidR="00207F89" w:rsidRPr="00207F89" w:rsidRDefault="00455D14" w:rsidP="00207F89">
            <w:pPr>
              <w:widowControl w:val="0"/>
              <w:shd w:val="clear" w:color="auto" w:fill="FFFFFF"/>
              <w:spacing w:after="0" w:line="0" w:lineRule="atLeast"/>
              <w:ind w:left="34"/>
              <w:rPr>
                <w:rFonts w:ascii="Times New Roman" w:eastAsia="Times New Roman" w:hAnsi="Times New Roman" w:cs="Times New Roman"/>
                <w:b/>
                <w:bCs/>
                <w:lang w:eastAsia="uk-UA"/>
              </w:rPr>
            </w:pPr>
            <w:r>
              <w:rPr>
                <w:rFonts w:ascii="Times New Roman" w:eastAsia="Times New Roman" w:hAnsi="Times New Roman" w:cs="Times New Roman"/>
                <w:b/>
                <w:bCs/>
                <w:u w:val="single"/>
                <w:lang w:eastAsia="uk-UA"/>
              </w:rPr>
              <w:t xml:space="preserve">КАТЕГОРІЯ  6 </w:t>
            </w:r>
            <w:r w:rsidR="00207F89" w:rsidRPr="00207F89">
              <w:rPr>
                <w:rFonts w:ascii="Times New Roman" w:eastAsia="Times New Roman" w:hAnsi="Times New Roman" w:cs="Times New Roman"/>
                <w:b/>
                <w:bCs/>
                <w:lang w:eastAsia="uk-UA"/>
              </w:rPr>
              <w:t>Справи зі спорів з приводу забезпечення сталого розвитку населених пунктів та землекористування,  зокрема зі спорів у сфері: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1,65</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469</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403</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w:t>
            </w:r>
            <w:r w:rsidR="005463EF">
              <w:rPr>
                <w:rFonts w:ascii="Times New Roman" w:eastAsia="Times New Roman" w:hAnsi="Times New Roman" w:cs="Times New Roman"/>
                <w:bCs/>
                <w:lang w:eastAsia="uk-UA"/>
              </w:rPr>
              <w:t>66</w:t>
            </w:r>
          </w:p>
        </w:tc>
      </w:tr>
      <w:tr w:rsidR="00207F89" w:rsidRPr="00207F89" w:rsidTr="00207F89">
        <w:trPr>
          <w:trHeight w:val="69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37</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містобудування; планування і забудови територій; архітектурної діяльності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1,68</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182</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164</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18</w:t>
            </w:r>
          </w:p>
        </w:tc>
      </w:tr>
      <w:tr w:rsidR="00207F89" w:rsidRPr="00207F89" w:rsidTr="00207F89">
        <w:trPr>
          <w:trHeight w:val="82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38</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землеустрою; державної експертизи землевпорядної документації; регулювання земельних відносин, у тому числі: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1,45</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159</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156</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3</w:t>
            </w:r>
          </w:p>
        </w:tc>
      </w:tr>
      <w:tr w:rsidR="00207F89" w:rsidRPr="00207F89" w:rsidTr="00207F89">
        <w:trPr>
          <w:trHeight w:val="84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39</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розпорядження землями держави (територіальних громад), передача таких земельних  ділянок у власність і користування громадянам та юридичним особам</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1,45</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60</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44</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16</w:t>
            </w:r>
          </w:p>
        </w:tc>
      </w:tr>
      <w:tr w:rsidR="00207F89" w:rsidRPr="00207F89" w:rsidTr="00207F89">
        <w:trPr>
          <w:trHeight w:val="106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40</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1,45</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0</w:t>
            </w:r>
          </w:p>
        </w:tc>
      </w:tr>
      <w:tr w:rsidR="00207F89" w:rsidRPr="00207F89" w:rsidTr="00207F89">
        <w:trPr>
          <w:trHeight w:val="66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41</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державної реєстрації речових прав на нерухоме майно та їх обтяжень (у тому числі прав на земельні ділянки)</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1,65</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125</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77</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48</w:t>
            </w:r>
          </w:p>
        </w:tc>
      </w:tr>
      <w:tr w:rsidR="00207F89" w:rsidRPr="00207F89" w:rsidTr="00207F89">
        <w:trPr>
          <w:trHeight w:val="61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42</w:t>
            </w:r>
          </w:p>
        </w:tc>
        <w:tc>
          <w:tcPr>
            <w:tcW w:w="1992" w:type="pct"/>
            <w:shd w:val="clear" w:color="auto" w:fill="auto"/>
            <w:hideMark/>
          </w:tcPr>
          <w:p w:rsidR="00207F89" w:rsidRPr="00207F89" w:rsidRDefault="00455D14" w:rsidP="00207F89">
            <w:pPr>
              <w:widowControl w:val="0"/>
              <w:shd w:val="clear" w:color="auto" w:fill="FFFFFF"/>
              <w:spacing w:after="0" w:line="0" w:lineRule="atLeast"/>
              <w:ind w:left="34"/>
              <w:rPr>
                <w:rFonts w:ascii="Times New Roman" w:eastAsia="Times New Roman" w:hAnsi="Times New Roman" w:cs="Times New Roman"/>
                <w:b/>
                <w:bCs/>
                <w:lang w:eastAsia="uk-UA"/>
              </w:rPr>
            </w:pPr>
            <w:r>
              <w:rPr>
                <w:rFonts w:ascii="Times New Roman" w:eastAsia="Times New Roman" w:hAnsi="Times New Roman" w:cs="Times New Roman"/>
                <w:b/>
                <w:bCs/>
                <w:u w:val="single"/>
                <w:lang w:eastAsia="uk-UA"/>
              </w:rPr>
              <w:t xml:space="preserve">КАТЕГОРІЯ  7 </w:t>
            </w:r>
            <w:r w:rsidR="00207F89" w:rsidRPr="00207F89">
              <w:rPr>
                <w:rFonts w:ascii="Times New Roman" w:eastAsia="Times New Roman" w:hAnsi="Times New Roman" w:cs="Times New Roman"/>
                <w:b/>
                <w:bCs/>
                <w:lang w:eastAsia="uk-UA"/>
              </w:rPr>
              <w:t>Справи зі спорів з приводу охорони навколишнього природного середовища, зокрема зі спорів щодо:</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0,95</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12</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17</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w:t>
            </w:r>
            <w:r w:rsidR="005463EF">
              <w:rPr>
                <w:rFonts w:ascii="Times New Roman" w:eastAsia="Times New Roman" w:hAnsi="Times New Roman" w:cs="Times New Roman"/>
                <w:bCs/>
                <w:lang w:eastAsia="uk-UA"/>
              </w:rPr>
              <w:t>5</w:t>
            </w:r>
          </w:p>
        </w:tc>
      </w:tr>
      <w:tr w:rsidR="00207F89" w:rsidRPr="00207F89" w:rsidTr="00207F89">
        <w:trPr>
          <w:trHeight w:val="82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43</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забезпечення екологічної безпеки, у тому числі при використанні природних ресурсів; екологічної безпеки поводження з відходами</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0,95</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6</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11</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5</w:t>
            </w:r>
          </w:p>
        </w:tc>
      </w:tr>
      <w:tr w:rsidR="00207F89" w:rsidRPr="00207F89" w:rsidTr="00207F89">
        <w:trPr>
          <w:trHeight w:val="58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44</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особливої охорони природних територій та об’єктів, визначених законом</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0,95</w:t>
            </w:r>
          </w:p>
        </w:tc>
        <w:tc>
          <w:tcPr>
            <w:tcW w:w="653" w:type="pct"/>
          </w:tcPr>
          <w:p w:rsidR="00207F89" w:rsidRPr="00207F89" w:rsidRDefault="00F63213"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4</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w:t>
            </w:r>
          </w:p>
        </w:tc>
      </w:tr>
      <w:tr w:rsidR="00207F89" w:rsidRPr="00207F89" w:rsidTr="00207F89">
        <w:trPr>
          <w:trHeight w:val="87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lastRenderedPageBreak/>
              <w:t>45</w:t>
            </w:r>
          </w:p>
        </w:tc>
        <w:tc>
          <w:tcPr>
            <w:tcW w:w="1992" w:type="pct"/>
            <w:shd w:val="clear" w:color="auto" w:fill="auto"/>
            <w:hideMark/>
          </w:tcPr>
          <w:p w:rsidR="00207F89" w:rsidRPr="00207F89" w:rsidRDefault="00455D14" w:rsidP="00207F89">
            <w:pPr>
              <w:widowControl w:val="0"/>
              <w:shd w:val="clear" w:color="auto" w:fill="FFFFFF"/>
              <w:spacing w:after="0" w:line="0" w:lineRule="atLeast"/>
              <w:ind w:left="34"/>
              <w:rPr>
                <w:rFonts w:ascii="Times New Roman" w:eastAsia="Times New Roman" w:hAnsi="Times New Roman" w:cs="Times New Roman"/>
                <w:b/>
                <w:bCs/>
                <w:lang w:eastAsia="uk-UA"/>
              </w:rPr>
            </w:pPr>
            <w:r>
              <w:rPr>
                <w:rFonts w:ascii="Times New Roman" w:eastAsia="Times New Roman" w:hAnsi="Times New Roman" w:cs="Times New Roman"/>
                <w:b/>
                <w:bCs/>
                <w:u w:val="single"/>
                <w:lang w:eastAsia="uk-UA"/>
              </w:rPr>
              <w:t xml:space="preserve">КАТЕГОРІЯ  8 </w:t>
            </w:r>
            <w:r w:rsidR="00207F89" w:rsidRPr="00207F89">
              <w:rPr>
                <w:rFonts w:ascii="Times New Roman" w:eastAsia="Times New Roman" w:hAnsi="Times New Roman" w:cs="Times New Roman"/>
                <w:b/>
                <w:bCs/>
                <w:lang w:eastAsia="uk-UA"/>
              </w:rPr>
              <w:t>Справи зі спорів з приводу адміністрування податків, зборів, платежів, а також контролю за дотриманням вимог податкового законодавства, зокрема зі спорів щодо:</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1,5</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1599</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1549</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w:t>
            </w:r>
            <w:r w:rsidR="005463EF">
              <w:rPr>
                <w:rFonts w:ascii="Times New Roman" w:eastAsia="Times New Roman" w:hAnsi="Times New Roman" w:cs="Times New Roman"/>
                <w:bCs/>
                <w:lang w:eastAsia="uk-UA"/>
              </w:rPr>
              <w:t>50</w:t>
            </w:r>
          </w:p>
        </w:tc>
      </w:tr>
      <w:tr w:rsidR="00207F89" w:rsidRPr="00207F89" w:rsidTr="00207F89">
        <w:trPr>
          <w:trHeight w:val="39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46</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реалізації податкового контролю</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1,5</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165</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234</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69</w:t>
            </w:r>
          </w:p>
        </w:tc>
      </w:tr>
      <w:tr w:rsidR="00207F89" w:rsidRPr="00207F89" w:rsidTr="00207F89">
        <w:trPr>
          <w:trHeight w:val="36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47</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погашення податкового боргу, у тому числі: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0,98</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757</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699</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58</w:t>
            </w:r>
          </w:p>
        </w:tc>
      </w:tr>
      <w:tr w:rsidR="00207F89" w:rsidRPr="00207F89" w:rsidTr="00207F89">
        <w:trPr>
          <w:trHeight w:val="39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48</w:t>
            </w:r>
          </w:p>
        </w:tc>
        <w:tc>
          <w:tcPr>
            <w:tcW w:w="1992" w:type="pct"/>
            <w:shd w:val="clear" w:color="auto" w:fill="auto"/>
            <w:noWrap/>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передачі майна у податкову заставу</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0,98</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6</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2</w:t>
            </w:r>
          </w:p>
        </w:tc>
      </w:tr>
      <w:tr w:rsidR="00207F89" w:rsidRPr="00207F89" w:rsidTr="00207F89">
        <w:trPr>
          <w:trHeight w:val="33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49</w:t>
            </w:r>
          </w:p>
        </w:tc>
        <w:tc>
          <w:tcPr>
            <w:tcW w:w="1992" w:type="pct"/>
            <w:shd w:val="clear" w:color="auto" w:fill="auto"/>
            <w:noWrap/>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застосування адміністративного арешту майна</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0,98</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60</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95</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35</w:t>
            </w:r>
          </w:p>
        </w:tc>
      </w:tr>
      <w:tr w:rsidR="00207F89" w:rsidRPr="00207F89" w:rsidTr="00207F89">
        <w:trPr>
          <w:trHeight w:val="39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50</w:t>
            </w:r>
          </w:p>
        </w:tc>
        <w:tc>
          <w:tcPr>
            <w:tcW w:w="1992" w:type="pct"/>
            <w:shd w:val="clear" w:color="auto" w:fill="auto"/>
            <w:noWrap/>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стягнення податкового боргу</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0,81</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689</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586</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103</w:t>
            </w:r>
          </w:p>
        </w:tc>
      </w:tr>
      <w:tr w:rsidR="00207F89" w:rsidRPr="00207F89" w:rsidTr="00207F89">
        <w:trPr>
          <w:trHeight w:val="51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51</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адміністрування окремих податків, зборів та платежів, у тому числі: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1,47</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670</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612</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58</w:t>
            </w:r>
          </w:p>
        </w:tc>
      </w:tr>
      <w:tr w:rsidR="00207F89" w:rsidRPr="00207F89" w:rsidTr="00207F89">
        <w:trPr>
          <w:trHeight w:val="33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52</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податку на прибуток підприємств</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1,47</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111</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83</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28</w:t>
            </w:r>
          </w:p>
        </w:tc>
      </w:tr>
      <w:tr w:rsidR="00207F89" w:rsidRPr="00207F89" w:rsidTr="00207F89">
        <w:trPr>
          <w:trHeight w:val="33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53</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податку з доходів фізичних осіб</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1,47</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78</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56</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22</w:t>
            </w:r>
          </w:p>
        </w:tc>
      </w:tr>
      <w:tr w:rsidR="00207F89" w:rsidRPr="00207F89" w:rsidTr="00207F89">
        <w:trPr>
          <w:trHeight w:val="55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54</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податку на додану вартість (крім бюджетного відшкодування з податку на додану вартість)</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1,67</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318</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291</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27</w:t>
            </w:r>
          </w:p>
        </w:tc>
      </w:tr>
      <w:tr w:rsidR="00207F89" w:rsidRPr="00207F89" w:rsidTr="00207F89">
        <w:trPr>
          <w:trHeight w:val="37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55</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бюджетного відшкодування з податку на додану вартість</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1,47</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9</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3</w:t>
            </w:r>
          </w:p>
        </w:tc>
      </w:tr>
      <w:tr w:rsidR="00207F89" w:rsidRPr="00207F89" w:rsidTr="00207F89">
        <w:trPr>
          <w:trHeight w:val="37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56</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акцизного податку</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1,47</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31</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44</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13</w:t>
            </w:r>
          </w:p>
        </w:tc>
      </w:tr>
      <w:tr w:rsidR="00207F89" w:rsidRPr="00207F89" w:rsidTr="00207F89">
        <w:trPr>
          <w:trHeight w:val="40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57</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збору за першу реєстрацію транспортного засобу</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1,47</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10</w:t>
            </w:r>
          </w:p>
        </w:tc>
        <w:tc>
          <w:tcPr>
            <w:tcW w:w="653" w:type="pct"/>
          </w:tcPr>
          <w:p w:rsidR="00207F89" w:rsidRPr="00207F89" w:rsidRDefault="00EB5FEB"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7</w:t>
            </w:r>
          </w:p>
        </w:tc>
      </w:tr>
      <w:tr w:rsidR="00207F89" w:rsidRPr="00207F89" w:rsidTr="00207F89">
        <w:trPr>
          <w:trHeight w:val="34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58</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екологічного податку</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1,47</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0</w:t>
            </w:r>
          </w:p>
        </w:tc>
      </w:tr>
      <w:tr w:rsidR="00207F89" w:rsidRPr="00207F89" w:rsidTr="00207F89">
        <w:trPr>
          <w:trHeight w:val="33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59</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рентної плати за транспортування нафти і нафтопродуктів</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1,47</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0</w:t>
            </w:r>
          </w:p>
        </w:tc>
      </w:tr>
      <w:tr w:rsidR="00207F89" w:rsidRPr="00207F89" w:rsidTr="00207F89">
        <w:trPr>
          <w:trHeight w:val="31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60</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рентної плати за нафту, природний газ і газовий конденсат</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1,47</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0</w:t>
            </w:r>
          </w:p>
        </w:tc>
      </w:tr>
      <w:tr w:rsidR="00207F89" w:rsidRPr="00207F89" w:rsidTr="00207F89">
        <w:trPr>
          <w:trHeight w:val="36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61</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плати за користування надрами</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1,47</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1</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без змін</w:t>
            </w:r>
          </w:p>
        </w:tc>
      </w:tr>
      <w:tr w:rsidR="00207F89" w:rsidRPr="00207F89" w:rsidTr="00207F89">
        <w:trPr>
          <w:trHeight w:val="36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62</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місцевих податків і зборів, крім єдиного податку</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1,47</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59</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59</w:t>
            </w:r>
          </w:p>
        </w:tc>
      </w:tr>
      <w:tr w:rsidR="00207F89" w:rsidRPr="00207F89" w:rsidTr="00207F89">
        <w:trPr>
          <w:trHeight w:val="36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63</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єдиного податку</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1,47</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5</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12</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7</w:t>
            </w:r>
          </w:p>
        </w:tc>
      </w:tr>
      <w:tr w:rsidR="00207F89" w:rsidRPr="00207F89" w:rsidTr="00207F89">
        <w:trPr>
          <w:trHeight w:val="33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64</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плати за землю</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1,47</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11</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9</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2</w:t>
            </w:r>
          </w:p>
        </w:tc>
      </w:tr>
      <w:tr w:rsidR="00207F89" w:rsidRPr="00207F89" w:rsidTr="00207F89">
        <w:trPr>
          <w:trHeight w:val="39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65</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збору за користування радіочастотним ресурсом</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1,47</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0</w:t>
            </w:r>
          </w:p>
        </w:tc>
      </w:tr>
      <w:tr w:rsidR="00207F89" w:rsidRPr="00207F89" w:rsidTr="00207F89">
        <w:trPr>
          <w:trHeight w:val="34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66</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збору за спеціальне використання води</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1,47</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1</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без змін</w:t>
            </w:r>
          </w:p>
        </w:tc>
      </w:tr>
      <w:tr w:rsidR="00207F89" w:rsidRPr="00207F89" w:rsidTr="00207F89">
        <w:trPr>
          <w:trHeight w:val="37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67</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збору за спеціальне використання лісових ресурсів</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1,47</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0</w:t>
            </w:r>
          </w:p>
        </w:tc>
      </w:tr>
      <w:tr w:rsidR="00207F89" w:rsidRPr="00207F89" w:rsidTr="00207F89">
        <w:trPr>
          <w:trHeight w:val="52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68</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справи за зверненням органів доходів і зборів, у тому числі  щодо:</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1,5</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2</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w:t>
            </w:r>
          </w:p>
        </w:tc>
      </w:tr>
      <w:tr w:rsidR="00207F89" w:rsidRPr="00207F89" w:rsidTr="00207F89">
        <w:trPr>
          <w:trHeight w:val="81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69</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 xml:space="preserve">визнання </w:t>
            </w:r>
            <w:proofErr w:type="spellStart"/>
            <w:r w:rsidRPr="00207F89">
              <w:rPr>
                <w:rFonts w:ascii="Times New Roman" w:eastAsia="Times New Roman" w:hAnsi="Times New Roman" w:cs="Times New Roman"/>
                <w:iCs/>
                <w:lang w:eastAsia="uk-UA"/>
              </w:rPr>
              <w:t>оспорюванних</w:t>
            </w:r>
            <w:proofErr w:type="spellEnd"/>
            <w:r w:rsidRPr="00207F89">
              <w:rPr>
                <w:rFonts w:ascii="Times New Roman" w:eastAsia="Times New Roman" w:hAnsi="Times New Roman" w:cs="Times New Roman"/>
                <w:iCs/>
                <w:lang w:eastAsia="uk-UA"/>
              </w:rPr>
              <w:t xml:space="preserve"> правочинів недійсними та застосування визначених законодавством заходів, пов’язаних із визнанням правочинів недійсними</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1,5</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0</w:t>
            </w:r>
          </w:p>
        </w:tc>
      </w:tr>
      <w:tr w:rsidR="00207F89" w:rsidRPr="00207F89" w:rsidTr="00207F89">
        <w:trPr>
          <w:trHeight w:val="58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70</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стягнення в дохід держави коштів, отриманих за нікчемними договорами</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1,5</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0</w:t>
            </w:r>
          </w:p>
        </w:tc>
      </w:tr>
      <w:tr w:rsidR="00207F89" w:rsidRPr="00207F89" w:rsidTr="00207F89">
        <w:trPr>
          <w:trHeight w:val="67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71</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припинення юридичної особи (припинення підприємницької діяльності фізичної особи – підприємця)</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0,37</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2</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w:t>
            </w:r>
          </w:p>
        </w:tc>
      </w:tr>
      <w:tr w:rsidR="00207F89" w:rsidRPr="00207F89" w:rsidTr="00207F89">
        <w:trPr>
          <w:trHeight w:val="57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72</w:t>
            </w:r>
          </w:p>
        </w:tc>
        <w:tc>
          <w:tcPr>
            <w:tcW w:w="1992" w:type="pct"/>
            <w:shd w:val="clear" w:color="auto" w:fill="auto"/>
            <w:hideMark/>
          </w:tcPr>
          <w:p w:rsidR="00207F89" w:rsidRPr="00207F89" w:rsidRDefault="00455D14" w:rsidP="00207F89">
            <w:pPr>
              <w:widowControl w:val="0"/>
              <w:shd w:val="clear" w:color="auto" w:fill="FFFFFF"/>
              <w:spacing w:after="0" w:line="0" w:lineRule="atLeast"/>
              <w:ind w:left="34"/>
              <w:rPr>
                <w:rFonts w:ascii="Times New Roman" w:eastAsia="Times New Roman" w:hAnsi="Times New Roman" w:cs="Times New Roman"/>
                <w:b/>
                <w:bCs/>
                <w:lang w:eastAsia="uk-UA"/>
              </w:rPr>
            </w:pPr>
            <w:r>
              <w:rPr>
                <w:rFonts w:ascii="Times New Roman" w:eastAsia="Times New Roman" w:hAnsi="Times New Roman" w:cs="Times New Roman"/>
                <w:b/>
                <w:bCs/>
                <w:u w:val="single"/>
                <w:lang w:eastAsia="uk-UA"/>
              </w:rPr>
              <w:t xml:space="preserve">КАТЕГОРІЯ  9 </w:t>
            </w:r>
            <w:r w:rsidR="00207F89" w:rsidRPr="00207F89">
              <w:rPr>
                <w:rFonts w:ascii="Times New Roman" w:eastAsia="Times New Roman" w:hAnsi="Times New Roman" w:cs="Times New Roman"/>
                <w:b/>
                <w:bCs/>
                <w:lang w:eastAsia="uk-UA"/>
              </w:rPr>
              <w:t>Справи зі спорів з приводу реалізації публічної фінансової політики, зокрема зі спорів у сфері: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0,87</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281</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155</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w:t>
            </w:r>
            <w:r w:rsidR="005463EF">
              <w:rPr>
                <w:rFonts w:ascii="Times New Roman" w:eastAsia="Times New Roman" w:hAnsi="Times New Roman" w:cs="Times New Roman"/>
                <w:bCs/>
                <w:lang w:eastAsia="uk-UA"/>
              </w:rPr>
              <w:t>126</w:t>
            </w:r>
          </w:p>
        </w:tc>
      </w:tr>
      <w:tr w:rsidR="00207F89" w:rsidRPr="00207F89" w:rsidTr="00207F89">
        <w:trPr>
          <w:trHeight w:val="55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lastRenderedPageBreak/>
              <w:t>73</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валютного регулювання і валютного контролю, у тому числі: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0,87</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3</w:t>
            </w:r>
          </w:p>
        </w:tc>
      </w:tr>
      <w:tr w:rsidR="00207F89" w:rsidRPr="00207F89" w:rsidTr="00207F89">
        <w:trPr>
          <w:trHeight w:val="33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74</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спорів за участю  органів доходів і зборів</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0,87</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w:t>
            </w:r>
          </w:p>
        </w:tc>
      </w:tr>
      <w:tr w:rsidR="00207F89" w:rsidRPr="00207F89" w:rsidTr="00207F89">
        <w:trPr>
          <w:trHeight w:val="36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75</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грошового обігу та розрахунків, у тому числі: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0,87</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13</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19</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6</w:t>
            </w:r>
          </w:p>
        </w:tc>
      </w:tr>
      <w:tr w:rsidR="00207F89" w:rsidRPr="00207F89" w:rsidTr="00207F89">
        <w:trPr>
          <w:trHeight w:val="36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76</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спорів за участю органів доходів і зборів</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0,87</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9</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13</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4</w:t>
            </w:r>
          </w:p>
        </w:tc>
      </w:tr>
      <w:tr w:rsidR="00207F89" w:rsidRPr="00207F89" w:rsidTr="00207F89">
        <w:trPr>
          <w:trHeight w:val="55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77</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бюджетної системи та бюджетного процесу; державного боргу</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0,87</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3</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без змін</w:t>
            </w:r>
          </w:p>
        </w:tc>
      </w:tr>
      <w:tr w:rsidR="00207F89" w:rsidRPr="00207F89" w:rsidTr="00207F89">
        <w:trPr>
          <w:trHeight w:val="51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78</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державного регулювання ринків фінансових послуг, у тому числі: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0,87</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247</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101</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146</w:t>
            </w:r>
          </w:p>
        </w:tc>
      </w:tr>
      <w:tr w:rsidR="00207F89" w:rsidRPr="00207F89" w:rsidTr="00207F89">
        <w:trPr>
          <w:trHeight w:val="36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79</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операцій із цінними паперами</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0,87</w:t>
            </w:r>
          </w:p>
        </w:tc>
        <w:tc>
          <w:tcPr>
            <w:tcW w:w="653" w:type="pct"/>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w:t>
            </w:r>
          </w:p>
        </w:tc>
      </w:tr>
      <w:tr w:rsidR="00207F89" w:rsidRPr="00207F89" w:rsidTr="00207F89">
        <w:trPr>
          <w:trHeight w:val="78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80</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процедур здійснення контролю Рахунковою палатою, державного фінансового контролю,  внутрішньої контрольно-ревізійної роботи</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0,87</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15</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25</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10</w:t>
            </w:r>
          </w:p>
        </w:tc>
      </w:tr>
      <w:tr w:rsidR="00207F89" w:rsidRPr="00207F89" w:rsidTr="00207F89">
        <w:trPr>
          <w:trHeight w:val="115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81</w:t>
            </w:r>
          </w:p>
        </w:tc>
        <w:tc>
          <w:tcPr>
            <w:tcW w:w="1992" w:type="pct"/>
            <w:shd w:val="clear" w:color="auto" w:fill="auto"/>
            <w:hideMark/>
          </w:tcPr>
          <w:p w:rsidR="00207F89" w:rsidRPr="00207F89" w:rsidRDefault="00455D14" w:rsidP="00207F89">
            <w:pPr>
              <w:widowControl w:val="0"/>
              <w:shd w:val="clear" w:color="auto" w:fill="FFFFFF"/>
              <w:spacing w:after="0" w:line="0" w:lineRule="atLeast"/>
              <w:ind w:left="34"/>
              <w:rPr>
                <w:rFonts w:ascii="Times New Roman" w:eastAsia="Times New Roman" w:hAnsi="Times New Roman" w:cs="Times New Roman"/>
                <w:b/>
                <w:bCs/>
                <w:lang w:eastAsia="uk-UA"/>
              </w:rPr>
            </w:pPr>
            <w:r>
              <w:rPr>
                <w:rFonts w:ascii="Times New Roman" w:eastAsia="Times New Roman" w:hAnsi="Times New Roman" w:cs="Times New Roman"/>
                <w:b/>
                <w:bCs/>
                <w:u w:val="single"/>
                <w:lang w:eastAsia="uk-UA"/>
              </w:rPr>
              <w:t xml:space="preserve">КАТЕГОРІЯ </w:t>
            </w:r>
            <w:r w:rsidRPr="00455D14">
              <w:rPr>
                <w:rFonts w:ascii="Times New Roman" w:eastAsia="Times New Roman" w:hAnsi="Times New Roman" w:cs="Times New Roman"/>
                <w:b/>
                <w:bCs/>
                <w:u w:val="single"/>
                <w:lang w:eastAsia="uk-UA"/>
              </w:rPr>
              <w:t xml:space="preserve"> 1</w:t>
            </w:r>
            <w:r>
              <w:rPr>
                <w:rFonts w:ascii="Times New Roman" w:eastAsia="Times New Roman" w:hAnsi="Times New Roman" w:cs="Times New Roman"/>
                <w:b/>
                <w:bCs/>
                <w:u w:val="single"/>
                <w:lang w:eastAsia="uk-UA"/>
              </w:rPr>
              <w:t xml:space="preserve">0 </w:t>
            </w:r>
            <w:r w:rsidR="00207F89" w:rsidRPr="00207F89">
              <w:rPr>
                <w:rFonts w:ascii="Times New Roman" w:eastAsia="Times New Roman" w:hAnsi="Times New Roman" w:cs="Times New Roman"/>
                <w:b/>
                <w:bCs/>
                <w:lang w:eastAsia="uk-UA"/>
              </w:rPr>
              <w:t>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 зокрема зі спорів щодо:</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1,11</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398</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1738</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w:t>
            </w:r>
            <w:r w:rsidR="005463EF">
              <w:rPr>
                <w:rFonts w:ascii="Times New Roman" w:eastAsia="Times New Roman" w:hAnsi="Times New Roman" w:cs="Times New Roman"/>
                <w:bCs/>
                <w:lang w:eastAsia="uk-UA"/>
              </w:rPr>
              <w:t>1340</w:t>
            </w:r>
          </w:p>
        </w:tc>
      </w:tr>
      <w:tr w:rsidR="00207F89" w:rsidRPr="00207F89" w:rsidTr="00207F89">
        <w:trPr>
          <w:trHeight w:val="66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82</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збору та обліку єдиного внеску на загальнообов'язкове державне соціальне страхування</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0,88</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63</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41</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22</w:t>
            </w:r>
          </w:p>
        </w:tc>
      </w:tr>
      <w:tr w:rsidR="00207F89" w:rsidRPr="00207F89" w:rsidTr="00207F89">
        <w:trPr>
          <w:trHeight w:val="139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83</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управління, нагляду та інших владних управлінських функцій (призначення, перерахунку та здійснення страхових виплат) у сфері відповідних видів загальнообов’язкового державного соціального страхування, у тому числі: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1,11</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271</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1586</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1315</w:t>
            </w:r>
          </w:p>
        </w:tc>
      </w:tr>
      <w:tr w:rsidR="00207F89" w:rsidRPr="00207F89" w:rsidTr="00207F89">
        <w:trPr>
          <w:trHeight w:val="87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84</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загальнообов’язкового державного страхування від нещасних випадків на виробництві та професійних захворювань, які спричинили втрату працездатності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1,11</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10</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23</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13</w:t>
            </w:r>
          </w:p>
        </w:tc>
      </w:tr>
      <w:tr w:rsidR="00207F89" w:rsidRPr="00207F89" w:rsidTr="00207F89">
        <w:trPr>
          <w:trHeight w:val="76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85</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загальнообов'язкового державного страхування у  зв'язку з тимчасовою втратою працездатності та витратами,  зумовленими похованням</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1,11</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11</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4</w:t>
            </w:r>
          </w:p>
        </w:tc>
      </w:tr>
      <w:tr w:rsidR="00207F89" w:rsidRPr="00207F89" w:rsidTr="00207F89">
        <w:trPr>
          <w:trHeight w:val="60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86</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загальнообов’язкового державного страхування на випадок безробіття</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1,11</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17</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1</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16</w:t>
            </w:r>
          </w:p>
        </w:tc>
      </w:tr>
      <w:tr w:rsidR="00207F89" w:rsidRPr="00207F89" w:rsidTr="00207F89">
        <w:trPr>
          <w:trHeight w:val="79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87</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загальнообов’язкового державного пенсійного страхування, у тому числі пенсійного страхування осіб, звільнених з  публічної служби (військової служби)</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1,13</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229</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1545</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1316</w:t>
            </w:r>
          </w:p>
        </w:tc>
      </w:tr>
      <w:tr w:rsidR="00207F89" w:rsidRPr="00207F89" w:rsidTr="00207F89">
        <w:trPr>
          <w:trHeight w:val="51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88</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соціального захисту; соціального захисту та зайнятості інвалідів; соціальних послуг, у тому числі: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1,11</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35</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59</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24</w:t>
            </w:r>
          </w:p>
        </w:tc>
      </w:tr>
      <w:tr w:rsidR="00207F89" w:rsidRPr="00207F89" w:rsidTr="00207F89">
        <w:trPr>
          <w:trHeight w:val="36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89</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соціального захисту дітей війни</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1,11</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0</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w:t>
            </w:r>
          </w:p>
        </w:tc>
      </w:tr>
      <w:tr w:rsidR="00207F89" w:rsidRPr="00207F89" w:rsidTr="00207F89">
        <w:trPr>
          <w:trHeight w:val="54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90</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соціального захисту громадян, які постраждали внаслідок Чорнобильської катастрофи</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1,11</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651" w:type="pct"/>
            <w:shd w:val="clear" w:color="auto" w:fill="auto"/>
          </w:tcPr>
          <w:p w:rsidR="00207F89" w:rsidRPr="00207F89" w:rsidRDefault="005463E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без змін</w:t>
            </w:r>
          </w:p>
        </w:tc>
      </w:tr>
      <w:tr w:rsidR="00207F89" w:rsidRPr="00207F89" w:rsidTr="00207F89">
        <w:trPr>
          <w:trHeight w:val="37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91</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соціального захисту сімей із дітьми</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1,11</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5463EF">
              <w:rPr>
                <w:rFonts w:ascii="Times New Roman" w:eastAsia="Times New Roman" w:hAnsi="Times New Roman" w:cs="Times New Roman"/>
                <w:lang w:eastAsia="uk-UA"/>
              </w:rPr>
              <w:t>1</w:t>
            </w:r>
          </w:p>
        </w:tc>
      </w:tr>
      <w:tr w:rsidR="00207F89" w:rsidRPr="00207F89" w:rsidTr="00207F89">
        <w:trPr>
          <w:trHeight w:val="31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92</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соціального захисту та зайнятості інвалідів</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1,11</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23</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32</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C37EBF">
              <w:rPr>
                <w:rFonts w:ascii="Times New Roman" w:eastAsia="Times New Roman" w:hAnsi="Times New Roman" w:cs="Times New Roman"/>
                <w:lang w:eastAsia="uk-UA"/>
              </w:rPr>
              <w:t>9</w:t>
            </w:r>
          </w:p>
        </w:tc>
      </w:tr>
      <w:tr w:rsidR="00207F89" w:rsidRPr="00207F89" w:rsidTr="00207F89">
        <w:trPr>
          <w:trHeight w:val="58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93</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Cs/>
                <w:i/>
                <w:iCs/>
                <w:lang w:eastAsia="uk-UA"/>
              </w:rPr>
            </w:pPr>
            <w:r w:rsidRPr="00207F89">
              <w:rPr>
                <w:rFonts w:ascii="Times New Roman" w:eastAsia="Times New Roman" w:hAnsi="Times New Roman" w:cs="Times New Roman"/>
                <w:bCs/>
                <w:i/>
                <w:iCs/>
                <w:lang w:eastAsia="uk-UA"/>
              </w:rPr>
              <w:t xml:space="preserve">праці, зайнятості населення (крім зайнятості інвалідів); реалізації публічної житлової політики, у тому </w:t>
            </w:r>
            <w:r w:rsidRPr="00207F89">
              <w:rPr>
                <w:rFonts w:ascii="Times New Roman" w:eastAsia="Times New Roman" w:hAnsi="Times New Roman" w:cs="Times New Roman"/>
                <w:bCs/>
                <w:i/>
                <w:iCs/>
                <w:lang w:eastAsia="uk-UA"/>
              </w:rPr>
              <w:lastRenderedPageBreak/>
              <w:t>числі: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lastRenderedPageBreak/>
              <w:t>1,11</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28</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51</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C37EBF">
              <w:rPr>
                <w:rFonts w:ascii="Times New Roman" w:eastAsia="Times New Roman" w:hAnsi="Times New Roman" w:cs="Times New Roman"/>
                <w:lang w:eastAsia="uk-UA"/>
              </w:rPr>
              <w:t>23</w:t>
            </w:r>
          </w:p>
        </w:tc>
      </w:tr>
      <w:tr w:rsidR="00207F89" w:rsidRPr="00207F89" w:rsidTr="00207F89">
        <w:trPr>
          <w:trHeight w:val="37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lastRenderedPageBreak/>
              <w:t>94</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праці, зайнятості населення (крім зайнятості інвалідів)</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1,11</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20</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41</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C37EBF">
              <w:rPr>
                <w:rFonts w:ascii="Times New Roman" w:eastAsia="Times New Roman" w:hAnsi="Times New Roman" w:cs="Times New Roman"/>
                <w:lang w:eastAsia="uk-UA"/>
              </w:rPr>
              <w:t>21</w:t>
            </w:r>
          </w:p>
        </w:tc>
      </w:tr>
      <w:tr w:rsidR="00207F89" w:rsidRPr="00207F89" w:rsidTr="00207F89">
        <w:trPr>
          <w:trHeight w:val="34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95</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реалізації публічної житлової політики</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1,11</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7</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sidRPr="00207F89">
              <w:rPr>
                <w:rFonts w:ascii="Times New Roman" w:eastAsia="Times New Roman" w:hAnsi="Times New Roman" w:cs="Times New Roman"/>
                <w:lang w:eastAsia="uk-UA"/>
              </w:rPr>
              <w:t>0</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C37EBF">
              <w:rPr>
                <w:rFonts w:ascii="Times New Roman" w:eastAsia="Times New Roman" w:hAnsi="Times New Roman" w:cs="Times New Roman"/>
                <w:lang w:eastAsia="uk-UA"/>
              </w:rPr>
              <w:t>7</w:t>
            </w:r>
          </w:p>
        </w:tc>
      </w:tr>
      <w:tr w:rsidR="00207F89" w:rsidRPr="00207F89" w:rsidTr="00207F89">
        <w:trPr>
          <w:trHeight w:val="49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96</w:t>
            </w:r>
          </w:p>
        </w:tc>
        <w:tc>
          <w:tcPr>
            <w:tcW w:w="1992" w:type="pct"/>
            <w:shd w:val="clear" w:color="auto" w:fill="auto"/>
            <w:hideMark/>
          </w:tcPr>
          <w:p w:rsidR="00207F89" w:rsidRPr="00207F89" w:rsidRDefault="00455D14" w:rsidP="00207F89">
            <w:pPr>
              <w:widowControl w:val="0"/>
              <w:shd w:val="clear" w:color="auto" w:fill="FFFFFF"/>
              <w:spacing w:after="0" w:line="0" w:lineRule="atLeast"/>
              <w:ind w:left="34"/>
              <w:rPr>
                <w:rFonts w:ascii="Times New Roman" w:eastAsia="Times New Roman" w:hAnsi="Times New Roman" w:cs="Times New Roman"/>
                <w:b/>
                <w:bCs/>
                <w:lang w:eastAsia="uk-UA"/>
              </w:rPr>
            </w:pPr>
            <w:r>
              <w:rPr>
                <w:rFonts w:ascii="Times New Roman" w:eastAsia="Times New Roman" w:hAnsi="Times New Roman" w:cs="Times New Roman"/>
                <w:b/>
                <w:bCs/>
                <w:u w:val="single"/>
                <w:lang w:eastAsia="uk-UA"/>
              </w:rPr>
              <w:t xml:space="preserve">КАТЕГОРІЯ </w:t>
            </w:r>
            <w:r w:rsidRPr="00455D14">
              <w:rPr>
                <w:rFonts w:ascii="Times New Roman" w:eastAsia="Times New Roman" w:hAnsi="Times New Roman" w:cs="Times New Roman"/>
                <w:b/>
                <w:bCs/>
                <w:u w:val="single"/>
                <w:lang w:eastAsia="uk-UA"/>
              </w:rPr>
              <w:t xml:space="preserve"> 1</w:t>
            </w:r>
            <w:r>
              <w:rPr>
                <w:rFonts w:ascii="Times New Roman" w:eastAsia="Times New Roman" w:hAnsi="Times New Roman" w:cs="Times New Roman"/>
                <w:b/>
                <w:bCs/>
                <w:u w:val="single"/>
                <w:lang w:eastAsia="uk-UA"/>
              </w:rPr>
              <w:t xml:space="preserve">1 </w:t>
            </w:r>
            <w:r w:rsidR="00207F89" w:rsidRPr="00207F89">
              <w:rPr>
                <w:rFonts w:ascii="Times New Roman" w:eastAsia="Times New Roman" w:hAnsi="Times New Roman" w:cs="Times New Roman"/>
                <w:b/>
                <w:bCs/>
                <w:lang w:eastAsia="uk-UA"/>
              </w:rPr>
              <w:t>Справи зі спорів з приводу забезпечення юстиції, зокрема спори у сфері:</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0,63</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226</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223</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w:t>
            </w:r>
            <w:r w:rsidR="00C37EBF">
              <w:rPr>
                <w:rFonts w:ascii="Times New Roman" w:eastAsia="Times New Roman" w:hAnsi="Times New Roman" w:cs="Times New Roman"/>
                <w:bCs/>
                <w:lang w:eastAsia="uk-UA"/>
              </w:rPr>
              <w:t>3</w:t>
            </w:r>
          </w:p>
        </w:tc>
      </w:tr>
      <w:tr w:rsidR="00207F89" w:rsidRPr="00207F89" w:rsidTr="00207F89">
        <w:trPr>
          <w:trHeight w:val="37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97</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судоустрою</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0,63</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14</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C37EBF">
              <w:rPr>
                <w:rFonts w:ascii="Times New Roman" w:eastAsia="Times New Roman" w:hAnsi="Times New Roman" w:cs="Times New Roman"/>
                <w:lang w:eastAsia="uk-UA"/>
              </w:rPr>
              <w:t>6</w:t>
            </w:r>
          </w:p>
        </w:tc>
      </w:tr>
      <w:tr w:rsidR="00207F89" w:rsidRPr="00207F89" w:rsidTr="00207F89">
        <w:trPr>
          <w:trHeight w:val="33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98</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прокуратури</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0,63</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C37EBF">
              <w:rPr>
                <w:rFonts w:ascii="Times New Roman" w:eastAsia="Times New Roman" w:hAnsi="Times New Roman" w:cs="Times New Roman"/>
                <w:lang w:eastAsia="uk-UA"/>
              </w:rPr>
              <w:t>2</w:t>
            </w:r>
          </w:p>
        </w:tc>
      </w:tr>
      <w:tr w:rsidR="00207F89" w:rsidRPr="00207F89" w:rsidTr="00207F89">
        <w:trPr>
          <w:trHeight w:val="33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99</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адвокатури</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0,63</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C37EBF">
              <w:rPr>
                <w:rFonts w:ascii="Times New Roman" w:eastAsia="Times New Roman" w:hAnsi="Times New Roman" w:cs="Times New Roman"/>
                <w:lang w:eastAsia="uk-UA"/>
              </w:rPr>
              <w:t>2</w:t>
            </w:r>
          </w:p>
        </w:tc>
      </w:tr>
      <w:tr w:rsidR="00207F89" w:rsidRPr="00207F89" w:rsidTr="00207F89">
        <w:trPr>
          <w:trHeight w:val="37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100</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нотаріату</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0,63</w:t>
            </w:r>
          </w:p>
        </w:tc>
        <w:tc>
          <w:tcPr>
            <w:tcW w:w="653" w:type="pct"/>
          </w:tcPr>
          <w:p w:rsidR="00207F89" w:rsidRPr="00207F89" w:rsidRDefault="009D78B1" w:rsidP="00207F89">
            <w:pPr>
              <w:widowControl w:val="0"/>
              <w:spacing w:after="0" w:line="0" w:lineRule="atLeast"/>
              <w:jc w:val="center"/>
              <w:rPr>
                <w:rFonts w:ascii="Times New Roman" w:eastAsia="Arial Unicode MS" w:hAnsi="Times New Roman" w:cs="Times New Roman"/>
                <w:lang w:eastAsia="uk-UA"/>
              </w:rPr>
            </w:pPr>
            <w:r>
              <w:rPr>
                <w:rFonts w:ascii="Times New Roman" w:eastAsia="Arial Unicode MS" w:hAnsi="Times New Roman" w:cs="Times New Roman"/>
                <w:lang w:eastAsia="uk-UA"/>
              </w:rPr>
              <w:t>5</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C37EBF">
              <w:rPr>
                <w:rFonts w:ascii="Times New Roman" w:eastAsia="Times New Roman" w:hAnsi="Times New Roman" w:cs="Times New Roman"/>
                <w:lang w:eastAsia="uk-UA"/>
              </w:rPr>
              <w:t>3</w:t>
            </w:r>
          </w:p>
        </w:tc>
      </w:tr>
      <w:tr w:rsidR="00207F89" w:rsidRPr="00207F89" w:rsidTr="00207F89">
        <w:trPr>
          <w:trHeight w:val="40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101</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виконавчої служби та виконавчого провадження</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0,63</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189</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186</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C37EBF">
              <w:rPr>
                <w:rFonts w:ascii="Times New Roman" w:eastAsia="Times New Roman" w:hAnsi="Times New Roman" w:cs="Times New Roman"/>
                <w:lang w:eastAsia="uk-UA"/>
              </w:rPr>
              <w:t>3</w:t>
            </w:r>
          </w:p>
        </w:tc>
      </w:tr>
      <w:tr w:rsidR="00207F89" w:rsidRPr="00207F89" w:rsidTr="00207F89">
        <w:trPr>
          <w:trHeight w:val="57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102</w:t>
            </w:r>
          </w:p>
        </w:tc>
        <w:tc>
          <w:tcPr>
            <w:tcW w:w="1992" w:type="pct"/>
            <w:shd w:val="clear" w:color="auto" w:fill="auto"/>
            <w:hideMark/>
          </w:tcPr>
          <w:p w:rsidR="00207F89" w:rsidRPr="00207F89" w:rsidRDefault="00455D14" w:rsidP="00207F89">
            <w:pPr>
              <w:widowControl w:val="0"/>
              <w:shd w:val="clear" w:color="auto" w:fill="FFFFFF"/>
              <w:spacing w:after="0" w:line="0" w:lineRule="atLeast"/>
              <w:ind w:left="34"/>
              <w:rPr>
                <w:rFonts w:ascii="Times New Roman" w:eastAsia="Times New Roman" w:hAnsi="Times New Roman" w:cs="Times New Roman"/>
                <w:b/>
                <w:bCs/>
                <w:lang w:eastAsia="uk-UA"/>
              </w:rPr>
            </w:pPr>
            <w:r>
              <w:rPr>
                <w:rFonts w:ascii="Times New Roman" w:eastAsia="Times New Roman" w:hAnsi="Times New Roman" w:cs="Times New Roman"/>
                <w:b/>
                <w:bCs/>
                <w:u w:val="single"/>
                <w:lang w:eastAsia="uk-UA"/>
              </w:rPr>
              <w:t xml:space="preserve">КАТЕГОРІЯ </w:t>
            </w:r>
            <w:r w:rsidRPr="00455D14">
              <w:rPr>
                <w:rFonts w:ascii="Times New Roman" w:eastAsia="Times New Roman" w:hAnsi="Times New Roman" w:cs="Times New Roman"/>
                <w:b/>
                <w:bCs/>
                <w:u w:val="single"/>
                <w:lang w:eastAsia="uk-UA"/>
              </w:rPr>
              <w:t xml:space="preserve"> 1</w:t>
            </w:r>
            <w:r>
              <w:rPr>
                <w:rFonts w:ascii="Times New Roman" w:eastAsia="Times New Roman" w:hAnsi="Times New Roman" w:cs="Times New Roman"/>
                <w:b/>
                <w:bCs/>
                <w:u w:val="single"/>
                <w:lang w:eastAsia="uk-UA"/>
              </w:rPr>
              <w:t xml:space="preserve">2 </w:t>
            </w:r>
            <w:r w:rsidR="00207F89" w:rsidRPr="00207F89">
              <w:rPr>
                <w:rFonts w:ascii="Times New Roman" w:eastAsia="Times New Roman" w:hAnsi="Times New Roman" w:cs="Times New Roman"/>
                <w:b/>
                <w:bCs/>
                <w:lang w:eastAsia="uk-UA"/>
              </w:rPr>
              <w:t>Справи зі спорів з відносин публічної служби, зокрема справи щодо:</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1,87</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688</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579</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w:t>
            </w:r>
            <w:r w:rsidR="00C37EBF">
              <w:rPr>
                <w:rFonts w:ascii="Times New Roman" w:eastAsia="Times New Roman" w:hAnsi="Times New Roman" w:cs="Times New Roman"/>
                <w:bCs/>
                <w:lang w:eastAsia="uk-UA"/>
              </w:rPr>
              <w:t>109</w:t>
            </w:r>
          </w:p>
        </w:tc>
      </w:tr>
      <w:tr w:rsidR="00207F89" w:rsidRPr="00207F89" w:rsidTr="00207F89">
        <w:trPr>
          <w:trHeight w:val="345"/>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103</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прийняття громадян на публічну службу</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1,87</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651" w:type="pct"/>
            <w:shd w:val="clear" w:color="auto" w:fill="auto"/>
          </w:tcPr>
          <w:p w:rsidR="00207F89" w:rsidRPr="00207F89" w:rsidRDefault="00C37EBF"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без змін</w:t>
            </w:r>
          </w:p>
        </w:tc>
      </w:tr>
      <w:tr w:rsidR="00207F89" w:rsidRPr="00207F89" w:rsidTr="00207F89">
        <w:trPr>
          <w:trHeight w:val="345"/>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104</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проходження служби</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1,87</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201</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140</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C37EBF">
              <w:rPr>
                <w:rFonts w:ascii="Times New Roman" w:eastAsia="Times New Roman" w:hAnsi="Times New Roman" w:cs="Times New Roman"/>
                <w:lang w:eastAsia="uk-UA"/>
              </w:rPr>
              <w:t>61</w:t>
            </w:r>
          </w:p>
        </w:tc>
      </w:tr>
      <w:tr w:rsidR="00207F89" w:rsidRPr="00207F89" w:rsidTr="00207F89">
        <w:trPr>
          <w:trHeight w:val="390"/>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105</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iCs/>
                <w:lang w:eastAsia="uk-UA"/>
              </w:rPr>
            </w:pPr>
            <w:r w:rsidRPr="00207F89">
              <w:rPr>
                <w:rFonts w:ascii="Times New Roman" w:eastAsia="Times New Roman" w:hAnsi="Times New Roman" w:cs="Times New Roman"/>
                <w:iCs/>
                <w:lang w:eastAsia="uk-UA"/>
              </w:rPr>
              <w:t>звільнення з публічної служби</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1,87</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455</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409</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lang w:eastAsia="uk-UA"/>
              </w:rPr>
            </w:pPr>
            <w:r>
              <w:rPr>
                <w:rFonts w:ascii="Times New Roman" w:eastAsia="Times New Roman" w:hAnsi="Times New Roman" w:cs="Times New Roman"/>
                <w:lang w:eastAsia="uk-UA"/>
              </w:rPr>
              <w:t>↓</w:t>
            </w:r>
            <w:r w:rsidR="00C37EBF">
              <w:rPr>
                <w:rFonts w:ascii="Times New Roman" w:eastAsia="Times New Roman" w:hAnsi="Times New Roman" w:cs="Times New Roman"/>
                <w:lang w:eastAsia="uk-UA"/>
              </w:rPr>
              <w:t>46</w:t>
            </w:r>
          </w:p>
        </w:tc>
      </w:tr>
      <w:tr w:rsidR="00207F89" w:rsidRPr="00207F89" w:rsidTr="00207F89">
        <w:trPr>
          <w:trHeight w:val="390"/>
        </w:trPr>
        <w:tc>
          <w:tcPr>
            <w:tcW w:w="343" w:type="pct"/>
            <w:shd w:val="clear" w:color="auto" w:fill="auto"/>
            <w:noWrap/>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106</w:t>
            </w:r>
          </w:p>
        </w:tc>
        <w:tc>
          <w:tcPr>
            <w:tcW w:w="1992" w:type="pct"/>
            <w:shd w:val="clear" w:color="auto" w:fill="auto"/>
            <w:hideMark/>
          </w:tcPr>
          <w:p w:rsidR="00207F89" w:rsidRPr="00207F89" w:rsidRDefault="00455D14" w:rsidP="00207F89">
            <w:pPr>
              <w:widowControl w:val="0"/>
              <w:shd w:val="clear" w:color="auto" w:fill="FFFFFF"/>
              <w:spacing w:after="0" w:line="0" w:lineRule="atLeast"/>
              <w:ind w:left="34"/>
              <w:rPr>
                <w:rFonts w:ascii="Times New Roman" w:eastAsia="Times New Roman" w:hAnsi="Times New Roman" w:cs="Times New Roman"/>
                <w:b/>
                <w:bCs/>
                <w:lang w:eastAsia="uk-UA"/>
              </w:rPr>
            </w:pPr>
            <w:r>
              <w:rPr>
                <w:rFonts w:ascii="Times New Roman" w:eastAsia="Times New Roman" w:hAnsi="Times New Roman" w:cs="Times New Roman"/>
                <w:b/>
                <w:bCs/>
                <w:u w:val="single"/>
                <w:lang w:eastAsia="uk-UA"/>
              </w:rPr>
              <w:t xml:space="preserve">КАТЕГОРІЯ  13 </w:t>
            </w:r>
            <w:r w:rsidR="00207F89" w:rsidRPr="00207F89">
              <w:rPr>
                <w:rFonts w:ascii="Times New Roman" w:eastAsia="Times New Roman" w:hAnsi="Times New Roman" w:cs="Times New Roman"/>
                <w:b/>
                <w:bCs/>
                <w:lang w:eastAsia="uk-UA"/>
              </w:rPr>
              <w:t>Інші справи</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Arial Unicode MS" w:hAnsi="Times New Roman" w:cs="Times New Roman"/>
                <w:color w:val="000000"/>
                <w:lang w:eastAsia="uk-UA" w:bidi="uk-UA"/>
              </w:rPr>
            </w:pPr>
            <w:r w:rsidRPr="00207F89">
              <w:rPr>
                <w:rFonts w:ascii="Times New Roman" w:eastAsia="Arial Unicode MS" w:hAnsi="Times New Roman" w:cs="Times New Roman"/>
                <w:color w:val="000000"/>
                <w:lang w:eastAsia="uk-UA" w:bidi="uk-UA"/>
              </w:rPr>
              <w:t>-</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0</w:t>
            </w:r>
          </w:p>
        </w:tc>
        <w:tc>
          <w:tcPr>
            <w:tcW w:w="653" w:type="pct"/>
          </w:tcPr>
          <w:p w:rsidR="00207F89" w:rsidRPr="00207F89" w:rsidRDefault="00207F89"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0</w:t>
            </w:r>
          </w:p>
        </w:tc>
        <w:tc>
          <w:tcPr>
            <w:tcW w:w="651" w:type="pct"/>
            <w:shd w:val="clear" w:color="auto" w:fill="auto"/>
          </w:tcPr>
          <w:p w:rsidR="00207F89" w:rsidRPr="00207F89" w:rsidRDefault="00C37EBF"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0</w:t>
            </w:r>
          </w:p>
        </w:tc>
      </w:tr>
      <w:tr w:rsidR="00207F89" w:rsidRPr="00207F89" w:rsidTr="00207F89">
        <w:trPr>
          <w:trHeight w:val="741"/>
        </w:trPr>
        <w:tc>
          <w:tcPr>
            <w:tcW w:w="343" w:type="pct"/>
            <w:shd w:val="clear" w:color="auto" w:fill="auto"/>
            <w:hideMark/>
          </w:tcPr>
          <w:p w:rsidR="00207F89" w:rsidRPr="00207F89" w:rsidRDefault="00207F8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207F89">
              <w:rPr>
                <w:rFonts w:ascii="Times New Roman" w:eastAsia="Times New Roman" w:hAnsi="Times New Roman" w:cs="Times New Roman"/>
                <w:bCs/>
                <w:lang w:eastAsia="uk-UA"/>
              </w:rPr>
              <w:t>107</w:t>
            </w:r>
          </w:p>
        </w:tc>
        <w:tc>
          <w:tcPr>
            <w:tcW w:w="1992" w:type="pct"/>
            <w:shd w:val="clear" w:color="auto" w:fill="auto"/>
            <w:hideMark/>
          </w:tcPr>
          <w:p w:rsidR="00207F89" w:rsidRPr="00207F89" w:rsidRDefault="00207F89" w:rsidP="00207F89">
            <w:pPr>
              <w:widowControl w:val="0"/>
              <w:shd w:val="clear" w:color="auto" w:fill="FFFFFF"/>
              <w:spacing w:after="0" w:line="0" w:lineRule="atLeast"/>
              <w:ind w:left="34"/>
              <w:rPr>
                <w:rFonts w:ascii="Times New Roman" w:eastAsia="Times New Roman" w:hAnsi="Times New Roman" w:cs="Times New Roman"/>
                <w:b/>
                <w:bCs/>
                <w:lang w:eastAsia="uk-UA"/>
              </w:rPr>
            </w:pPr>
            <w:r w:rsidRPr="00207F89">
              <w:rPr>
                <w:rFonts w:ascii="Times New Roman" w:eastAsia="Times New Roman" w:hAnsi="Times New Roman" w:cs="Times New Roman"/>
                <w:b/>
                <w:bCs/>
                <w:lang w:eastAsia="uk-UA"/>
              </w:rPr>
              <w:t>УСЬОГО (сума рядків 1, 2, 5, 22, 23, 36, 42, 45, 72, 81, 96, 102, 106)</w:t>
            </w:r>
          </w:p>
        </w:tc>
        <w:tc>
          <w:tcPr>
            <w:tcW w:w="708" w:type="pct"/>
            <w:shd w:val="clear" w:color="auto" w:fill="auto"/>
          </w:tcPr>
          <w:p w:rsidR="00207F89" w:rsidRPr="00207F89" w:rsidRDefault="00207F89" w:rsidP="00207F89">
            <w:pPr>
              <w:widowControl w:val="0"/>
              <w:spacing w:after="0" w:line="0" w:lineRule="atLeast"/>
              <w:jc w:val="center"/>
              <w:rPr>
                <w:rFonts w:ascii="Times New Roman" w:eastAsia="Times New Roman" w:hAnsi="Times New Roman" w:cs="Times New Roman"/>
                <w:b/>
                <w:bCs/>
                <w:color w:val="000000"/>
                <w:spacing w:val="10"/>
                <w:lang w:eastAsia="uk-UA" w:bidi="uk-UA"/>
              </w:rPr>
            </w:pPr>
            <w:r w:rsidRPr="00207F89">
              <w:rPr>
                <w:rFonts w:ascii="Times New Roman" w:eastAsia="Times New Roman" w:hAnsi="Times New Roman" w:cs="Times New Roman"/>
                <w:b/>
                <w:bCs/>
                <w:color w:val="000000"/>
                <w:spacing w:val="10"/>
                <w:lang w:eastAsia="uk-UA" w:bidi="uk-UA"/>
              </w:rPr>
              <w:t>-</w:t>
            </w:r>
          </w:p>
        </w:tc>
        <w:tc>
          <w:tcPr>
            <w:tcW w:w="653" w:type="pct"/>
          </w:tcPr>
          <w:p w:rsidR="00207F89" w:rsidRPr="00207F89" w:rsidRDefault="009D78B1" w:rsidP="00207F89">
            <w:pPr>
              <w:widowControl w:val="0"/>
              <w:spacing w:after="0" w:line="0" w:lineRule="atLeast"/>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4231</w:t>
            </w:r>
          </w:p>
        </w:tc>
        <w:tc>
          <w:tcPr>
            <w:tcW w:w="653" w:type="pct"/>
          </w:tcPr>
          <w:p w:rsidR="00207F89" w:rsidRPr="00207F89" w:rsidRDefault="00BA2471" w:rsidP="00207F89">
            <w:pPr>
              <w:widowControl w:val="0"/>
              <w:shd w:val="clear" w:color="auto" w:fill="FFFFFF"/>
              <w:spacing w:after="0" w:line="0" w:lineRule="atLeast"/>
              <w:ind w:left="34"/>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5268</w:t>
            </w:r>
          </w:p>
        </w:tc>
        <w:tc>
          <w:tcPr>
            <w:tcW w:w="651" w:type="pct"/>
            <w:shd w:val="clear" w:color="auto" w:fill="auto"/>
          </w:tcPr>
          <w:p w:rsidR="00207F89" w:rsidRPr="00207F89" w:rsidRDefault="006447DE" w:rsidP="00207F89">
            <w:pPr>
              <w:widowControl w:val="0"/>
              <w:shd w:val="clear" w:color="auto" w:fill="FFFFFF"/>
              <w:spacing w:after="0" w:line="0" w:lineRule="atLeast"/>
              <w:ind w:left="34"/>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w:t>
            </w:r>
            <w:r w:rsidR="00C37EBF">
              <w:rPr>
                <w:rFonts w:ascii="Times New Roman" w:eastAsia="Times New Roman" w:hAnsi="Times New Roman" w:cs="Times New Roman"/>
                <w:b/>
                <w:bCs/>
                <w:lang w:eastAsia="uk-UA"/>
              </w:rPr>
              <w:t>1037</w:t>
            </w:r>
          </w:p>
        </w:tc>
      </w:tr>
    </w:tbl>
    <w:p w:rsidR="002D1B97" w:rsidRDefault="002D1B97"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Як бачимо, в провадженні суду в 2017 році перебувало на 1037 справ більше порівняно із аналогічним періодом 2016 року.</w:t>
      </w:r>
    </w:p>
    <w:p w:rsidR="0067674F" w:rsidRDefault="00730446"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Співвідношення справ за категоріями</w:t>
      </w:r>
      <w:r w:rsidR="0067674F">
        <w:rPr>
          <w:rFonts w:ascii="Times New Roman" w:eastAsia="Times New Roman" w:hAnsi="Times New Roman" w:cs="Times New Roman"/>
          <w:color w:val="000000"/>
          <w:sz w:val="24"/>
          <w:szCs w:val="24"/>
          <w:lang w:eastAsia="uk-UA" w:bidi="uk-UA"/>
        </w:rPr>
        <w:t>, що розглядалися в суді у 2016 та 2017 році наведено у наступній діаграмі.</w:t>
      </w:r>
    </w:p>
    <w:p w:rsidR="002D1B97" w:rsidRDefault="002D1B97"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p>
    <w:p w:rsidR="00A2168C" w:rsidRDefault="0067674F" w:rsidP="00730446">
      <w:pPr>
        <w:widowControl w:val="0"/>
        <w:spacing w:after="0" w:line="0" w:lineRule="atLeast"/>
        <w:ind w:firstLine="142"/>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noProof/>
          <w:color w:val="000000"/>
          <w:sz w:val="24"/>
          <w:szCs w:val="24"/>
          <w:lang w:eastAsia="uk-UA"/>
        </w:rPr>
        <w:lastRenderedPageBreak/>
        <w:drawing>
          <wp:inline distT="0" distB="0" distL="0" distR="0" wp14:anchorId="6BFE86A5" wp14:editId="1E8052F0">
            <wp:extent cx="6029325" cy="55721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0446" w:rsidRDefault="00730446" w:rsidP="00730446">
      <w:pPr>
        <w:widowControl w:val="0"/>
        <w:spacing w:after="0" w:line="0" w:lineRule="atLeast"/>
        <w:ind w:firstLine="142"/>
        <w:jc w:val="both"/>
        <w:rPr>
          <w:rFonts w:ascii="Times New Roman" w:eastAsia="Times New Roman" w:hAnsi="Times New Roman" w:cs="Times New Roman"/>
          <w:color w:val="000000"/>
          <w:sz w:val="24"/>
          <w:szCs w:val="24"/>
          <w:lang w:eastAsia="uk-UA" w:bidi="uk-UA"/>
        </w:rPr>
      </w:pPr>
    </w:p>
    <w:p w:rsidR="002D1B97" w:rsidRPr="00661BF1" w:rsidRDefault="0067674F" w:rsidP="00207F89">
      <w:pPr>
        <w:widowControl w:val="0"/>
        <w:spacing w:after="0" w:line="0" w:lineRule="atLeast"/>
        <w:ind w:firstLine="780"/>
        <w:jc w:val="both"/>
        <w:rPr>
          <w:rFonts w:ascii="Times New Roman" w:eastAsia="Times New Roman" w:hAnsi="Times New Roman" w:cs="Times New Roman"/>
          <w:iCs/>
          <w:sz w:val="24"/>
          <w:szCs w:val="24"/>
          <w:lang w:eastAsia="uk-UA"/>
        </w:rPr>
      </w:pPr>
      <w:r w:rsidRPr="00661BF1">
        <w:rPr>
          <w:rFonts w:ascii="Times New Roman" w:eastAsia="Times New Roman" w:hAnsi="Times New Roman" w:cs="Times New Roman"/>
          <w:color w:val="000000"/>
          <w:sz w:val="24"/>
          <w:szCs w:val="24"/>
          <w:lang w:eastAsia="uk-UA" w:bidi="uk-UA"/>
        </w:rPr>
        <w:t>У звітному році значно</w:t>
      </w:r>
      <w:r w:rsidR="00A27B90" w:rsidRPr="00661BF1">
        <w:rPr>
          <w:rFonts w:ascii="Times New Roman" w:eastAsia="Times New Roman" w:hAnsi="Times New Roman" w:cs="Times New Roman"/>
          <w:color w:val="000000"/>
          <w:sz w:val="24"/>
          <w:szCs w:val="24"/>
          <w:lang w:eastAsia="uk-UA" w:bidi="uk-UA"/>
        </w:rPr>
        <w:t xml:space="preserve"> збільшилась кількість справ зі спорів щодо</w:t>
      </w:r>
      <w:r w:rsidR="002859BE">
        <w:rPr>
          <w:rFonts w:ascii="Times New Roman" w:eastAsia="Times New Roman" w:hAnsi="Times New Roman" w:cs="Times New Roman"/>
          <w:color w:val="000000"/>
          <w:sz w:val="24"/>
          <w:szCs w:val="24"/>
          <w:lang w:eastAsia="uk-UA" w:bidi="uk-UA"/>
        </w:rPr>
        <w:t xml:space="preserve"> </w:t>
      </w:r>
      <w:r w:rsidR="00A27B90" w:rsidRPr="00661BF1">
        <w:rPr>
          <w:rFonts w:ascii="Times New Roman" w:eastAsia="Times New Roman" w:hAnsi="Times New Roman" w:cs="Times New Roman"/>
          <w:iCs/>
          <w:sz w:val="24"/>
          <w:szCs w:val="24"/>
          <w:lang w:eastAsia="uk-UA"/>
        </w:rPr>
        <w:t>загальнообов’язкового державного пенсійного страхування</w:t>
      </w:r>
      <w:r w:rsidR="00A2168C" w:rsidRPr="00661BF1">
        <w:rPr>
          <w:rFonts w:ascii="Times New Roman" w:eastAsia="Times New Roman" w:hAnsi="Times New Roman" w:cs="Times New Roman"/>
          <w:iCs/>
          <w:sz w:val="24"/>
          <w:szCs w:val="24"/>
          <w:lang w:eastAsia="uk-UA"/>
        </w:rPr>
        <w:t xml:space="preserve"> (категорія 10.2.4). К</w:t>
      </w:r>
      <w:r w:rsidR="00A27B90" w:rsidRPr="00661BF1">
        <w:rPr>
          <w:rFonts w:ascii="Times New Roman" w:eastAsia="Times New Roman" w:hAnsi="Times New Roman" w:cs="Times New Roman"/>
          <w:iCs/>
          <w:sz w:val="24"/>
          <w:szCs w:val="24"/>
          <w:lang w:eastAsia="uk-UA"/>
        </w:rPr>
        <w:t>ількість таких справ у 2017 році становить 1545, що на 85% більше, ніж у відповідному періоді 2016 року (229). Надходження такої кількості справ зумовлено звільненням у 2017 році від сплати судового збору органів Пенсійного фонду України.</w:t>
      </w:r>
    </w:p>
    <w:p w:rsidR="00330F29" w:rsidRPr="00661BF1" w:rsidRDefault="00A2168C" w:rsidP="00207F89">
      <w:pPr>
        <w:widowControl w:val="0"/>
        <w:spacing w:after="0" w:line="0" w:lineRule="atLeast"/>
        <w:ind w:firstLine="780"/>
        <w:jc w:val="both"/>
        <w:rPr>
          <w:rFonts w:ascii="Times New Roman" w:eastAsia="Times New Roman" w:hAnsi="Times New Roman" w:cs="Times New Roman"/>
          <w:iCs/>
          <w:sz w:val="24"/>
          <w:szCs w:val="24"/>
          <w:lang w:eastAsia="uk-UA"/>
        </w:rPr>
      </w:pPr>
      <w:r w:rsidRPr="00661BF1">
        <w:rPr>
          <w:rFonts w:ascii="Times New Roman" w:eastAsia="Times New Roman" w:hAnsi="Times New Roman" w:cs="Times New Roman"/>
          <w:iCs/>
          <w:sz w:val="24"/>
          <w:szCs w:val="24"/>
          <w:lang w:eastAsia="uk-UA"/>
        </w:rPr>
        <w:t xml:space="preserve">Спостерігається збільшення </w:t>
      </w:r>
      <w:r w:rsidR="00330F29" w:rsidRPr="00661BF1">
        <w:rPr>
          <w:rFonts w:ascii="Times New Roman" w:eastAsia="Times New Roman" w:hAnsi="Times New Roman" w:cs="Times New Roman"/>
          <w:iCs/>
          <w:sz w:val="24"/>
          <w:szCs w:val="24"/>
          <w:lang w:eastAsia="uk-UA"/>
        </w:rPr>
        <w:t>в 2017 році</w:t>
      </w:r>
      <w:r w:rsidR="00730446">
        <w:rPr>
          <w:rFonts w:ascii="Times New Roman" w:eastAsia="Times New Roman" w:hAnsi="Times New Roman" w:cs="Times New Roman"/>
          <w:iCs/>
          <w:sz w:val="24"/>
          <w:szCs w:val="24"/>
          <w:lang w:eastAsia="uk-UA"/>
        </w:rPr>
        <w:t xml:space="preserve"> наступних справ</w:t>
      </w:r>
      <w:r w:rsidR="00330F29" w:rsidRPr="00661BF1">
        <w:rPr>
          <w:rFonts w:ascii="Times New Roman" w:eastAsia="Times New Roman" w:hAnsi="Times New Roman" w:cs="Times New Roman"/>
          <w:iCs/>
          <w:sz w:val="24"/>
          <w:szCs w:val="24"/>
          <w:lang w:eastAsia="uk-UA"/>
        </w:rPr>
        <w:t>:</w:t>
      </w:r>
    </w:p>
    <w:p w:rsidR="00330F29" w:rsidRPr="00661BF1" w:rsidRDefault="00A2168C" w:rsidP="00330F29">
      <w:pPr>
        <w:pStyle w:val="a9"/>
        <w:widowControl w:val="0"/>
        <w:numPr>
          <w:ilvl w:val="0"/>
          <w:numId w:val="7"/>
        </w:numPr>
        <w:spacing w:after="0" w:line="0" w:lineRule="atLeast"/>
        <w:jc w:val="both"/>
        <w:rPr>
          <w:rFonts w:ascii="Times New Roman" w:eastAsia="Times New Roman" w:hAnsi="Times New Roman" w:cs="Times New Roman"/>
          <w:color w:val="000000"/>
          <w:sz w:val="24"/>
          <w:szCs w:val="24"/>
          <w:lang w:eastAsia="uk-UA" w:bidi="uk-UA"/>
        </w:rPr>
      </w:pPr>
      <w:r w:rsidRPr="00661BF1">
        <w:rPr>
          <w:rFonts w:ascii="Times New Roman" w:eastAsia="Times New Roman" w:hAnsi="Times New Roman" w:cs="Times New Roman"/>
          <w:iCs/>
          <w:sz w:val="24"/>
          <w:szCs w:val="24"/>
          <w:lang w:eastAsia="uk-UA"/>
        </w:rPr>
        <w:t xml:space="preserve">зі спорів щодо дозвільної системи у сфері господарської діяльності (категорія </w:t>
      </w:r>
      <w:r w:rsidR="00330F29" w:rsidRPr="00661BF1">
        <w:rPr>
          <w:rFonts w:ascii="Times New Roman" w:eastAsia="Times New Roman" w:hAnsi="Times New Roman" w:cs="Times New Roman"/>
          <w:iCs/>
          <w:sz w:val="24"/>
          <w:szCs w:val="24"/>
          <w:lang w:eastAsia="uk-UA"/>
        </w:rPr>
        <w:t>5.1.2</w:t>
      </w:r>
      <w:r w:rsidR="0080731B" w:rsidRPr="00661BF1">
        <w:rPr>
          <w:rFonts w:ascii="Times New Roman" w:eastAsia="Times New Roman" w:hAnsi="Times New Roman" w:cs="Times New Roman"/>
          <w:iCs/>
          <w:sz w:val="24"/>
          <w:szCs w:val="24"/>
          <w:lang w:eastAsia="uk-UA"/>
        </w:rPr>
        <w:t>)</w:t>
      </w:r>
      <w:r w:rsidR="00330F29" w:rsidRPr="00661BF1">
        <w:rPr>
          <w:rFonts w:ascii="Times New Roman" w:eastAsia="Times New Roman" w:hAnsi="Times New Roman" w:cs="Times New Roman"/>
          <w:iCs/>
          <w:sz w:val="24"/>
          <w:szCs w:val="24"/>
          <w:lang w:eastAsia="uk-UA"/>
        </w:rPr>
        <w:t>;</w:t>
      </w:r>
    </w:p>
    <w:p w:rsidR="00F57AAE" w:rsidRPr="00661BF1" w:rsidRDefault="00330F29" w:rsidP="00330F29">
      <w:pPr>
        <w:pStyle w:val="a9"/>
        <w:widowControl w:val="0"/>
        <w:numPr>
          <w:ilvl w:val="0"/>
          <w:numId w:val="7"/>
        </w:numPr>
        <w:spacing w:after="0" w:line="0" w:lineRule="atLeast"/>
        <w:jc w:val="both"/>
        <w:rPr>
          <w:rFonts w:ascii="Times New Roman" w:eastAsia="Times New Roman" w:hAnsi="Times New Roman" w:cs="Times New Roman"/>
          <w:color w:val="000000"/>
          <w:sz w:val="24"/>
          <w:szCs w:val="24"/>
          <w:lang w:eastAsia="uk-UA" w:bidi="uk-UA"/>
        </w:rPr>
      </w:pPr>
      <w:r w:rsidRPr="00661BF1">
        <w:rPr>
          <w:rFonts w:ascii="Times New Roman" w:eastAsia="Times New Roman" w:hAnsi="Times New Roman" w:cs="Times New Roman"/>
          <w:bCs/>
          <w:sz w:val="24"/>
          <w:szCs w:val="24"/>
          <w:lang w:eastAsia="uk-UA"/>
        </w:rPr>
        <w:t>зі спорів з приводу реалізації державної політики у сфері освіти, науки, культури та спорту (категорія 4</w:t>
      </w:r>
      <w:r w:rsidR="0080731B" w:rsidRPr="00661BF1">
        <w:rPr>
          <w:rFonts w:ascii="Times New Roman" w:eastAsia="Times New Roman" w:hAnsi="Times New Roman" w:cs="Times New Roman"/>
          <w:bCs/>
          <w:sz w:val="24"/>
          <w:szCs w:val="24"/>
          <w:lang w:eastAsia="uk-UA"/>
        </w:rPr>
        <w:t>);</w:t>
      </w:r>
    </w:p>
    <w:p w:rsidR="00F57AAE" w:rsidRPr="00661BF1" w:rsidRDefault="00F57AAE" w:rsidP="00330F29">
      <w:pPr>
        <w:pStyle w:val="a9"/>
        <w:widowControl w:val="0"/>
        <w:numPr>
          <w:ilvl w:val="0"/>
          <w:numId w:val="7"/>
        </w:numPr>
        <w:spacing w:after="0" w:line="0" w:lineRule="atLeast"/>
        <w:jc w:val="both"/>
        <w:rPr>
          <w:rFonts w:ascii="Times New Roman" w:eastAsia="Times New Roman" w:hAnsi="Times New Roman" w:cs="Times New Roman"/>
          <w:color w:val="000000"/>
          <w:sz w:val="24"/>
          <w:szCs w:val="24"/>
          <w:lang w:eastAsia="uk-UA" w:bidi="uk-UA"/>
        </w:rPr>
      </w:pPr>
      <w:r w:rsidRPr="00661BF1">
        <w:rPr>
          <w:rFonts w:ascii="Times New Roman" w:eastAsia="Times New Roman" w:hAnsi="Times New Roman" w:cs="Times New Roman"/>
          <w:bCs/>
          <w:sz w:val="24"/>
          <w:szCs w:val="24"/>
          <w:lang w:eastAsia="uk-UA"/>
        </w:rPr>
        <w:t>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(катего</w:t>
      </w:r>
      <w:r w:rsidR="0080731B" w:rsidRPr="00661BF1">
        <w:rPr>
          <w:rFonts w:ascii="Times New Roman" w:eastAsia="Times New Roman" w:hAnsi="Times New Roman" w:cs="Times New Roman"/>
          <w:bCs/>
          <w:sz w:val="24"/>
          <w:szCs w:val="24"/>
          <w:lang w:eastAsia="uk-UA"/>
        </w:rPr>
        <w:t>рія 2);</w:t>
      </w:r>
    </w:p>
    <w:p w:rsidR="00A2168C" w:rsidRPr="00661BF1" w:rsidRDefault="00F57AAE" w:rsidP="00330F29">
      <w:pPr>
        <w:pStyle w:val="a9"/>
        <w:widowControl w:val="0"/>
        <w:numPr>
          <w:ilvl w:val="0"/>
          <w:numId w:val="7"/>
        </w:numPr>
        <w:spacing w:after="0" w:line="0" w:lineRule="atLeast"/>
        <w:jc w:val="both"/>
        <w:rPr>
          <w:rFonts w:ascii="Times New Roman" w:eastAsia="Times New Roman" w:hAnsi="Times New Roman" w:cs="Times New Roman"/>
          <w:color w:val="000000"/>
          <w:sz w:val="24"/>
          <w:szCs w:val="24"/>
          <w:lang w:eastAsia="uk-UA" w:bidi="uk-UA"/>
        </w:rPr>
      </w:pPr>
      <w:r w:rsidRPr="00661BF1">
        <w:rPr>
          <w:rFonts w:ascii="Times New Roman" w:eastAsia="Times New Roman" w:hAnsi="Times New Roman" w:cs="Times New Roman"/>
          <w:bCs/>
          <w:sz w:val="24"/>
          <w:szCs w:val="24"/>
          <w:lang w:eastAsia="uk-UA"/>
        </w:rPr>
        <w:t>зі спорів з приводу забезпечення реалізації громадянами права голосу на виборах і референдумах (категорія 1</w:t>
      </w:r>
      <w:r w:rsidR="0080731B" w:rsidRPr="00661BF1">
        <w:rPr>
          <w:rFonts w:ascii="Times New Roman" w:eastAsia="Times New Roman" w:hAnsi="Times New Roman" w:cs="Times New Roman"/>
          <w:bCs/>
          <w:sz w:val="24"/>
          <w:szCs w:val="24"/>
          <w:lang w:eastAsia="uk-UA"/>
        </w:rPr>
        <w:t>0);</w:t>
      </w:r>
    </w:p>
    <w:p w:rsidR="00F57AAE" w:rsidRPr="00661BF1" w:rsidRDefault="00F57AAE" w:rsidP="00330F29">
      <w:pPr>
        <w:pStyle w:val="a9"/>
        <w:widowControl w:val="0"/>
        <w:numPr>
          <w:ilvl w:val="0"/>
          <w:numId w:val="7"/>
        </w:numPr>
        <w:spacing w:after="0" w:line="0" w:lineRule="atLeast"/>
        <w:jc w:val="both"/>
        <w:rPr>
          <w:rFonts w:ascii="Times New Roman" w:eastAsia="Times New Roman" w:hAnsi="Times New Roman" w:cs="Times New Roman"/>
          <w:color w:val="000000"/>
          <w:sz w:val="24"/>
          <w:szCs w:val="24"/>
          <w:lang w:eastAsia="uk-UA" w:bidi="uk-UA"/>
        </w:rPr>
      </w:pPr>
      <w:r w:rsidRPr="00661BF1">
        <w:rPr>
          <w:rFonts w:ascii="Times New Roman" w:eastAsia="Times New Roman" w:hAnsi="Times New Roman" w:cs="Times New Roman"/>
          <w:iCs/>
          <w:sz w:val="24"/>
          <w:szCs w:val="24"/>
          <w:lang w:eastAsia="uk-UA"/>
        </w:rPr>
        <w:t xml:space="preserve">зі спорів щодо забезпечення екологічної безпеки, у тому числі при використанні природних ресурсів; екологічної безпеки поводження з відходами (категорія </w:t>
      </w:r>
      <w:r w:rsidR="0080731B" w:rsidRPr="00661BF1">
        <w:rPr>
          <w:rFonts w:ascii="Times New Roman" w:eastAsia="Times New Roman" w:hAnsi="Times New Roman" w:cs="Times New Roman"/>
          <w:iCs/>
          <w:sz w:val="24"/>
          <w:szCs w:val="24"/>
          <w:lang w:eastAsia="uk-UA"/>
        </w:rPr>
        <w:t>7.1).</w:t>
      </w:r>
    </w:p>
    <w:p w:rsidR="002D1B97" w:rsidRPr="00661BF1" w:rsidRDefault="0080731B"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sidRPr="00661BF1">
        <w:rPr>
          <w:rFonts w:ascii="Times New Roman" w:eastAsia="Times New Roman" w:hAnsi="Times New Roman" w:cs="Times New Roman"/>
          <w:color w:val="000000"/>
          <w:sz w:val="24"/>
          <w:szCs w:val="24"/>
          <w:lang w:eastAsia="uk-UA" w:bidi="uk-UA"/>
        </w:rPr>
        <w:t xml:space="preserve">Значно зменшилась у звітному періоді кількість справ </w:t>
      </w:r>
      <w:r w:rsidRPr="00661BF1">
        <w:rPr>
          <w:rFonts w:ascii="Times New Roman" w:eastAsia="Times New Roman" w:hAnsi="Times New Roman" w:cs="Times New Roman"/>
          <w:bCs/>
          <w:sz w:val="24"/>
          <w:szCs w:val="24"/>
          <w:lang w:eastAsia="uk-UA"/>
        </w:rPr>
        <w:t>зі спорів з приводу реалізації публічної фінансової політики, зокрема зі спорів у сфері</w:t>
      </w:r>
      <w:r w:rsidR="00730446">
        <w:rPr>
          <w:rFonts w:ascii="Times New Roman" w:eastAsia="Times New Roman" w:hAnsi="Times New Roman" w:cs="Times New Roman"/>
          <w:bCs/>
          <w:sz w:val="24"/>
          <w:szCs w:val="24"/>
          <w:lang w:eastAsia="uk-UA"/>
        </w:rPr>
        <w:t xml:space="preserve"> </w:t>
      </w:r>
      <w:r w:rsidRPr="00661BF1">
        <w:rPr>
          <w:rFonts w:ascii="Times New Roman" w:eastAsia="Times New Roman" w:hAnsi="Times New Roman" w:cs="Times New Roman"/>
          <w:bCs/>
          <w:iCs/>
          <w:sz w:val="24"/>
          <w:szCs w:val="24"/>
          <w:lang w:eastAsia="uk-UA"/>
        </w:rPr>
        <w:t xml:space="preserve">державного регулювання ринків фінансових послуг (категорія 9.4). </w:t>
      </w:r>
      <w:r w:rsidRPr="00661BF1">
        <w:rPr>
          <w:rFonts w:ascii="Times New Roman" w:eastAsia="Times New Roman" w:hAnsi="Times New Roman" w:cs="Times New Roman"/>
          <w:iCs/>
          <w:sz w:val="24"/>
          <w:szCs w:val="24"/>
          <w:lang w:eastAsia="uk-UA"/>
        </w:rPr>
        <w:t>Кількість таких справ у 2017 році становить 101, що на 59% менше, ніж у відповідному періоді 2016 року (247).</w:t>
      </w:r>
    </w:p>
    <w:p w:rsidR="002D1B97" w:rsidRPr="00661BF1" w:rsidRDefault="00671009"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sidRPr="00661BF1">
        <w:rPr>
          <w:rFonts w:ascii="Times New Roman" w:eastAsia="Times New Roman" w:hAnsi="Times New Roman" w:cs="Times New Roman"/>
          <w:color w:val="000000"/>
          <w:sz w:val="24"/>
          <w:szCs w:val="24"/>
          <w:lang w:eastAsia="uk-UA" w:bidi="uk-UA"/>
        </w:rPr>
        <w:t>Загалом ві</w:t>
      </w:r>
      <w:r w:rsidR="00730446">
        <w:rPr>
          <w:rFonts w:ascii="Times New Roman" w:eastAsia="Times New Roman" w:hAnsi="Times New Roman" w:cs="Times New Roman"/>
          <w:color w:val="000000"/>
          <w:sz w:val="24"/>
          <w:szCs w:val="24"/>
          <w:lang w:eastAsia="uk-UA" w:bidi="uk-UA"/>
        </w:rPr>
        <w:t>дсоткове співвідношення справ за категоріями</w:t>
      </w:r>
      <w:r w:rsidRPr="00661BF1">
        <w:rPr>
          <w:rFonts w:ascii="Times New Roman" w:eastAsia="Times New Roman" w:hAnsi="Times New Roman" w:cs="Times New Roman"/>
          <w:color w:val="000000"/>
          <w:sz w:val="24"/>
          <w:szCs w:val="24"/>
          <w:lang w:eastAsia="uk-UA" w:bidi="uk-UA"/>
        </w:rPr>
        <w:t>, що розглядались у 2017 наведено у наступній діаграмі.</w:t>
      </w:r>
    </w:p>
    <w:p w:rsidR="00671009" w:rsidRPr="00661BF1" w:rsidRDefault="00671009"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p>
    <w:p w:rsidR="00671009" w:rsidRDefault="00671009" w:rsidP="001055CE">
      <w:pPr>
        <w:widowControl w:val="0"/>
        <w:spacing w:after="0" w:line="0" w:lineRule="atLeast"/>
        <w:ind w:firstLine="709"/>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noProof/>
          <w:color w:val="000000"/>
          <w:sz w:val="24"/>
          <w:szCs w:val="24"/>
          <w:lang w:eastAsia="uk-UA"/>
        </w:rPr>
        <w:lastRenderedPageBreak/>
        <w:drawing>
          <wp:inline distT="0" distB="0" distL="0" distR="0">
            <wp:extent cx="5753100" cy="41624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234C" w:rsidRDefault="00F8234C" w:rsidP="00207F89">
      <w:pPr>
        <w:widowControl w:val="0"/>
        <w:spacing w:after="0" w:line="0" w:lineRule="atLeast"/>
        <w:ind w:firstLine="780"/>
        <w:jc w:val="both"/>
        <w:rPr>
          <w:rFonts w:ascii="Times New Roman" w:eastAsia="Times New Roman" w:hAnsi="Times New Roman" w:cs="Times New Roman"/>
          <w:sz w:val="24"/>
          <w:szCs w:val="24"/>
          <w:lang w:eastAsia="uk-UA"/>
        </w:rPr>
      </w:pPr>
    </w:p>
    <w:p w:rsidR="001055CE" w:rsidRPr="00661BF1" w:rsidRDefault="001055CE" w:rsidP="00207F89">
      <w:pPr>
        <w:widowControl w:val="0"/>
        <w:spacing w:after="0" w:line="0" w:lineRule="atLeast"/>
        <w:ind w:firstLine="780"/>
        <w:jc w:val="both"/>
        <w:rPr>
          <w:rFonts w:ascii="Times New Roman" w:eastAsia="Times New Roman" w:hAnsi="Times New Roman" w:cs="Times New Roman"/>
          <w:sz w:val="24"/>
          <w:szCs w:val="24"/>
          <w:lang w:eastAsia="uk-UA"/>
        </w:rPr>
      </w:pPr>
      <w:r w:rsidRPr="00661BF1">
        <w:rPr>
          <w:rFonts w:ascii="Times New Roman" w:eastAsia="Times New Roman" w:hAnsi="Times New Roman" w:cs="Times New Roman"/>
          <w:sz w:val="24"/>
          <w:szCs w:val="24"/>
          <w:lang w:eastAsia="uk-UA"/>
        </w:rPr>
        <w:t>Із наведеного можна констатувати, що найбіль</w:t>
      </w:r>
      <w:r w:rsidR="00B65B05" w:rsidRPr="00661BF1">
        <w:rPr>
          <w:rFonts w:ascii="Times New Roman" w:eastAsia="Times New Roman" w:hAnsi="Times New Roman" w:cs="Times New Roman"/>
          <w:sz w:val="24"/>
          <w:szCs w:val="24"/>
          <w:lang w:eastAsia="uk-UA"/>
        </w:rPr>
        <w:t>шу кількість становлять справи</w:t>
      </w:r>
      <w:r w:rsidRPr="00661BF1">
        <w:rPr>
          <w:rFonts w:ascii="Times New Roman" w:eastAsia="Times New Roman" w:hAnsi="Times New Roman" w:cs="Times New Roman"/>
          <w:sz w:val="24"/>
          <w:szCs w:val="24"/>
          <w:lang w:eastAsia="uk-UA"/>
        </w:rPr>
        <w:t xml:space="preserve"> </w:t>
      </w:r>
      <w:r w:rsidRPr="00661BF1">
        <w:rPr>
          <w:rFonts w:ascii="Times New Roman" w:eastAsia="Times New Roman" w:hAnsi="Times New Roman" w:cs="Times New Roman"/>
          <w:bCs/>
          <w:sz w:val="24"/>
          <w:szCs w:val="24"/>
          <w:lang w:eastAsia="uk-UA"/>
        </w:rPr>
        <w:t>зі спорів з приводу реалізації публічної політики у сферах праці, зайнятості населення та соціальног</w:t>
      </w:r>
      <w:r w:rsidR="00D0198A" w:rsidRPr="00661BF1">
        <w:rPr>
          <w:rFonts w:ascii="Times New Roman" w:eastAsia="Times New Roman" w:hAnsi="Times New Roman" w:cs="Times New Roman"/>
          <w:bCs/>
          <w:sz w:val="24"/>
          <w:szCs w:val="24"/>
          <w:lang w:eastAsia="uk-UA"/>
        </w:rPr>
        <w:t>о захисту громадян</w:t>
      </w:r>
      <w:r w:rsidR="00D0198A" w:rsidRPr="00661BF1">
        <w:rPr>
          <w:rFonts w:ascii="Times New Roman" w:eastAsia="Times New Roman" w:hAnsi="Times New Roman" w:cs="Times New Roman"/>
          <w:sz w:val="24"/>
          <w:szCs w:val="24"/>
          <w:lang w:eastAsia="uk-UA"/>
        </w:rPr>
        <w:t xml:space="preserve"> </w:t>
      </w:r>
      <w:r w:rsidR="002859BE">
        <w:rPr>
          <w:rFonts w:ascii="Times New Roman" w:eastAsia="Times New Roman" w:hAnsi="Times New Roman" w:cs="Times New Roman"/>
          <w:sz w:val="24"/>
          <w:szCs w:val="24"/>
          <w:lang w:eastAsia="uk-UA"/>
        </w:rPr>
        <w:t xml:space="preserve">- категорія 10 </w:t>
      </w:r>
      <w:r w:rsidR="00D0198A" w:rsidRPr="00661BF1">
        <w:rPr>
          <w:rFonts w:ascii="Times New Roman" w:eastAsia="Times New Roman" w:hAnsi="Times New Roman" w:cs="Times New Roman"/>
          <w:sz w:val="24"/>
          <w:szCs w:val="24"/>
          <w:lang w:eastAsia="uk-UA"/>
        </w:rPr>
        <w:t>(</w:t>
      </w:r>
      <w:r w:rsidRPr="00661BF1">
        <w:rPr>
          <w:rFonts w:ascii="Times New Roman" w:eastAsia="Times New Roman" w:hAnsi="Times New Roman" w:cs="Times New Roman"/>
          <w:sz w:val="24"/>
          <w:szCs w:val="24"/>
          <w:lang w:eastAsia="uk-UA"/>
        </w:rPr>
        <w:t>33 %</w:t>
      </w:r>
      <w:r w:rsidR="00D0198A" w:rsidRPr="00661BF1">
        <w:rPr>
          <w:rFonts w:ascii="Times New Roman" w:eastAsia="Times New Roman" w:hAnsi="Times New Roman" w:cs="Times New Roman"/>
          <w:sz w:val="24"/>
          <w:szCs w:val="24"/>
          <w:lang w:eastAsia="uk-UA"/>
        </w:rPr>
        <w:t>)</w:t>
      </w:r>
      <w:r w:rsidRPr="00661BF1">
        <w:rPr>
          <w:rFonts w:ascii="Times New Roman" w:eastAsia="Times New Roman" w:hAnsi="Times New Roman" w:cs="Times New Roman"/>
          <w:sz w:val="24"/>
          <w:szCs w:val="24"/>
          <w:lang w:eastAsia="uk-UA"/>
        </w:rPr>
        <w:t>.</w:t>
      </w:r>
    </w:p>
    <w:p w:rsidR="00F8234C" w:rsidRPr="00661BF1" w:rsidRDefault="00D0198A" w:rsidP="00207F89">
      <w:pPr>
        <w:widowControl w:val="0"/>
        <w:spacing w:after="0" w:line="0" w:lineRule="atLeast"/>
        <w:ind w:firstLine="780"/>
        <w:jc w:val="both"/>
        <w:rPr>
          <w:rFonts w:ascii="Times New Roman" w:eastAsia="Times New Roman" w:hAnsi="Times New Roman" w:cs="Times New Roman"/>
          <w:bCs/>
          <w:sz w:val="24"/>
          <w:szCs w:val="24"/>
          <w:lang w:eastAsia="uk-UA"/>
        </w:rPr>
      </w:pPr>
      <w:r w:rsidRPr="00661BF1">
        <w:rPr>
          <w:rFonts w:ascii="Times New Roman" w:eastAsia="Times New Roman" w:hAnsi="Times New Roman" w:cs="Times New Roman"/>
          <w:sz w:val="24"/>
          <w:szCs w:val="24"/>
          <w:lang w:eastAsia="uk-UA"/>
        </w:rPr>
        <w:t xml:space="preserve">Другими за значенням є справи </w:t>
      </w:r>
      <w:r w:rsidRPr="00661BF1">
        <w:rPr>
          <w:rFonts w:ascii="Times New Roman" w:eastAsia="Times New Roman" w:hAnsi="Times New Roman" w:cs="Times New Roman"/>
          <w:bCs/>
          <w:sz w:val="24"/>
          <w:szCs w:val="24"/>
          <w:lang w:eastAsia="uk-UA"/>
        </w:rPr>
        <w:t xml:space="preserve">зі спорів з приводу адміністрування податків, зборів, платежів, а також контролю за дотриманням вимог податкового законодавства </w:t>
      </w:r>
      <w:r w:rsidR="002859BE">
        <w:rPr>
          <w:rFonts w:ascii="Times New Roman" w:eastAsia="Times New Roman" w:hAnsi="Times New Roman" w:cs="Times New Roman"/>
          <w:bCs/>
          <w:sz w:val="24"/>
          <w:szCs w:val="24"/>
          <w:lang w:eastAsia="uk-UA"/>
        </w:rPr>
        <w:t>- категорія 8</w:t>
      </w:r>
      <w:r w:rsidR="00730446">
        <w:rPr>
          <w:rFonts w:ascii="Times New Roman" w:eastAsia="Times New Roman" w:hAnsi="Times New Roman" w:cs="Times New Roman"/>
          <w:bCs/>
          <w:sz w:val="24"/>
          <w:szCs w:val="24"/>
          <w:lang w:eastAsia="uk-UA"/>
        </w:rPr>
        <w:t xml:space="preserve">     </w:t>
      </w:r>
      <w:r w:rsidR="002859BE">
        <w:rPr>
          <w:rFonts w:ascii="Times New Roman" w:eastAsia="Times New Roman" w:hAnsi="Times New Roman" w:cs="Times New Roman"/>
          <w:bCs/>
          <w:sz w:val="24"/>
          <w:szCs w:val="24"/>
          <w:lang w:eastAsia="uk-UA"/>
        </w:rPr>
        <w:t xml:space="preserve"> </w:t>
      </w:r>
      <w:r w:rsidRPr="00661BF1">
        <w:rPr>
          <w:rFonts w:ascii="Times New Roman" w:eastAsia="Times New Roman" w:hAnsi="Times New Roman" w:cs="Times New Roman"/>
          <w:bCs/>
          <w:sz w:val="24"/>
          <w:szCs w:val="24"/>
          <w:lang w:eastAsia="uk-UA"/>
        </w:rPr>
        <w:t>(29 %).</w:t>
      </w:r>
    </w:p>
    <w:p w:rsidR="00D0198A" w:rsidRPr="00661BF1" w:rsidRDefault="00D0198A" w:rsidP="00207F89">
      <w:pPr>
        <w:widowControl w:val="0"/>
        <w:spacing w:after="0" w:line="0" w:lineRule="atLeast"/>
        <w:ind w:firstLine="780"/>
        <w:jc w:val="both"/>
        <w:rPr>
          <w:rFonts w:ascii="Times New Roman" w:eastAsia="Times New Roman" w:hAnsi="Times New Roman" w:cs="Times New Roman"/>
          <w:sz w:val="24"/>
          <w:szCs w:val="24"/>
          <w:lang w:eastAsia="uk-UA"/>
        </w:rPr>
      </w:pPr>
      <w:r w:rsidRPr="00661BF1">
        <w:rPr>
          <w:rFonts w:ascii="Times New Roman" w:eastAsia="Times New Roman" w:hAnsi="Times New Roman" w:cs="Times New Roman"/>
          <w:bCs/>
          <w:sz w:val="24"/>
          <w:szCs w:val="24"/>
          <w:lang w:eastAsia="uk-UA"/>
        </w:rPr>
        <w:t xml:space="preserve">Третіми </w:t>
      </w:r>
      <w:r w:rsidR="00730446">
        <w:rPr>
          <w:rFonts w:ascii="Times New Roman" w:eastAsia="Times New Roman" w:hAnsi="Times New Roman" w:cs="Times New Roman"/>
          <w:bCs/>
          <w:sz w:val="24"/>
          <w:szCs w:val="24"/>
          <w:lang w:eastAsia="uk-UA"/>
        </w:rPr>
        <w:t xml:space="preserve">за кількістю </w:t>
      </w:r>
      <w:r w:rsidRPr="00661BF1">
        <w:rPr>
          <w:rFonts w:ascii="Times New Roman" w:eastAsia="Times New Roman" w:hAnsi="Times New Roman" w:cs="Times New Roman"/>
          <w:bCs/>
          <w:sz w:val="24"/>
          <w:szCs w:val="24"/>
          <w:lang w:eastAsia="uk-UA"/>
        </w:rPr>
        <w:t>є справи зі спорів з відносин публічної служби</w:t>
      </w:r>
      <w:r w:rsidR="002859BE">
        <w:rPr>
          <w:rFonts w:ascii="Times New Roman" w:eastAsia="Times New Roman" w:hAnsi="Times New Roman" w:cs="Times New Roman"/>
          <w:bCs/>
          <w:sz w:val="24"/>
          <w:szCs w:val="24"/>
          <w:lang w:eastAsia="uk-UA"/>
        </w:rPr>
        <w:t xml:space="preserve"> - категорія 12</w:t>
      </w:r>
      <w:r w:rsidRPr="00661BF1">
        <w:rPr>
          <w:rFonts w:ascii="Times New Roman" w:eastAsia="Times New Roman" w:hAnsi="Times New Roman" w:cs="Times New Roman"/>
          <w:bCs/>
          <w:sz w:val="24"/>
          <w:szCs w:val="24"/>
          <w:lang w:eastAsia="uk-UA"/>
        </w:rPr>
        <w:t xml:space="preserve"> </w:t>
      </w:r>
      <w:r w:rsidR="00730446">
        <w:rPr>
          <w:rFonts w:ascii="Times New Roman" w:eastAsia="Times New Roman" w:hAnsi="Times New Roman" w:cs="Times New Roman"/>
          <w:bCs/>
          <w:sz w:val="24"/>
          <w:szCs w:val="24"/>
          <w:lang w:eastAsia="uk-UA"/>
        </w:rPr>
        <w:t xml:space="preserve">       </w:t>
      </w:r>
      <w:r w:rsidRPr="00661BF1">
        <w:rPr>
          <w:rFonts w:ascii="Times New Roman" w:eastAsia="Times New Roman" w:hAnsi="Times New Roman" w:cs="Times New Roman"/>
          <w:bCs/>
          <w:sz w:val="24"/>
          <w:szCs w:val="24"/>
          <w:lang w:eastAsia="uk-UA"/>
        </w:rPr>
        <w:t>(11 %).</w:t>
      </w:r>
    </w:p>
    <w:p w:rsidR="001055CE" w:rsidRDefault="001055CE" w:rsidP="00207F89">
      <w:pPr>
        <w:widowControl w:val="0"/>
        <w:spacing w:after="0" w:line="0" w:lineRule="atLeast"/>
        <w:ind w:firstLine="780"/>
        <w:jc w:val="both"/>
        <w:rPr>
          <w:rFonts w:ascii="Times New Roman" w:eastAsia="Times New Roman" w:hAnsi="Times New Roman" w:cs="Times New Roman"/>
          <w:sz w:val="24"/>
          <w:szCs w:val="24"/>
          <w:lang w:eastAsia="uk-UA"/>
        </w:rPr>
      </w:pPr>
    </w:p>
    <w:p w:rsidR="001055CE" w:rsidRDefault="001055CE" w:rsidP="00207F89">
      <w:pPr>
        <w:widowControl w:val="0"/>
        <w:spacing w:after="0" w:line="0" w:lineRule="atLeast"/>
        <w:ind w:firstLine="780"/>
        <w:jc w:val="both"/>
        <w:rPr>
          <w:rFonts w:ascii="Times New Roman" w:eastAsia="Times New Roman" w:hAnsi="Times New Roman" w:cs="Times New Roman"/>
          <w:sz w:val="24"/>
          <w:szCs w:val="24"/>
          <w:lang w:eastAsia="uk-UA"/>
        </w:rPr>
      </w:pPr>
    </w:p>
    <w:p w:rsidR="00207F89" w:rsidRPr="002D282B" w:rsidRDefault="00207F89" w:rsidP="00CB17EE">
      <w:pPr>
        <w:pStyle w:val="ac"/>
        <w:rPr>
          <w:noProof/>
        </w:rPr>
      </w:pPr>
      <w:r w:rsidRPr="002D282B">
        <w:rPr>
          <w:rFonts w:eastAsia="Times New Roman"/>
          <w:color w:val="000000"/>
          <w:sz w:val="24"/>
          <w:szCs w:val="24"/>
          <w:lang w:eastAsia="uk-UA" w:bidi="uk-UA"/>
        </w:rPr>
        <w:t>ІІІ.</w:t>
      </w:r>
      <w:r w:rsidR="002D282B" w:rsidRPr="002D282B">
        <w:rPr>
          <w:rFonts w:eastAsia="Times New Roman"/>
          <w:color w:val="000000"/>
          <w:sz w:val="24"/>
          <w:szCs w:val="24"/>
          <w:lang w:eastAsia="uk-UA" w:bidi="uk-UA"/>
        </w:rPr>
        <w:t xml:space="preserve"> </w:t>
      </w:r>
      <w:r w:rsidR="00CB17EE">
        <w:rPr>
          <w:noProof/>
        </w:rPr>
        <w:t>Якісні</w:t>
      </w:r>
      <w:r w:rsidR="002D282B" w:rsidRPr="002D282B">
        <w:rPr>
          <w:noProof/>
        </w:rPr>
        <w:t xml:space="preserve"> показники </w:t>
      </w:r>
      <w:r w:rsidR="00CB17EE">
        <w:rPr>
          <w:noProof/>
        </w:rPr>
        <w:t>роботи суду</w:t>
      </w:r>
    </w:p>
    <w:p w:rsidR="00990391" w:rsidRDefault="00990391" w:rsidP="00661BF1">
      <w:pPr>
        <w:widowControl w:val="0"/>
        <w:spacing w:after="0" w:line="0" w:lineRule="atLeast"/>
        <w:rPr>
          <w:rFonts w:ascii="Times New Roman" w:eastAsia="Times New Roman" w:hAnsi="Times New Roman" w:cs="Times New Roman"/>
          <w:b/>
          <w:color w:val="000000"/>
          <w:sz w:val="24"/>
          <w:szCs w:val="24"/>
          <w:lang w:eastAsia="uk-UA" w:bidi="uk-UA"/>
        </w:rPr>
      </w:pPr>
    </w:p>
    <w:p w:rsidR="00A53ABD" w:rsidRPr="00A53ABD" w:rsidRDefault="00A53ABD" w:rsidP="002D282B">
      <w:pPr>
        <w:spacing w:after="0" w:line="0" w:lineRule="atLeast"/>
        <w:ind w:firstLine="709"/>
        <w:jc w:val="both"/>
        <w:rPr>
          <w:rFonts w:ascii="Times New Roman" w:hAnsi="Times New Roman" w:cs="Times New Roman"/>
          <w:sz w:val="24"/>
          <w:szCs w:val="24"/>
        </w:rPr>
      </w:pPr>
      <w:r w:rsidRPr="00A53ABD">
        <w:rPr>
          <w:rFonts w:ascii="Times New Roman" w:hAnsi="Times New Roman" w:cs="Times New Roman"/>
          <w:sz w:val="24"/>
          <w:szCs w:val="24"/>
        </w:rPr>
        <w:t>У «Системі оцінювання роботи суду: стандарти, критерії, показники та методи» (СОРС), затвердженій рішенням Ради суддів Укра</w:t>
      </w:r>
      <w:r w:rsidR="00333430">
        <w:rPr>
          <w:rFonts w:ascii="Times New Roman" w:hAnsi="Times New Roman" w:cs="Times New Roman"/>
          <w:sz w:val="24"/>
          <w:szCs w:val="24"/>
        </w:rPr>
        <w:t>їни від 2 квітня 2015 року № 28</w:t>
      </w:r>
      <w:r w:rsidRPr="00A53ABD">
        <w:rPr>
          <w:rFonts w:ascii="Times New Roman" w:hAnsi="Times New Roman" w:cs="Times New Roman"/>
          <w:sz w:val="24"/>
          <w:szCs w:val="24"/>
        </w:rPr>
        <w:t xml:space="preserve"> для розробки системи </w:t>
      </w:r>
      <w:r w:rsidRPr="002D282B">
        <w:rPr>
          <w:rFonts w:ascii="Times New Roman" w:hAnsi="Times New Roman" w:cs="Times New Roman"/>
          <w:sz w:val="24"/>
          <w:szCs w:val="24"/>
        </w:rPr>
        <w:t>оцінки та моніторингу якості правосуддя і функціонування суддів</w:t>
      </w:r>
      <w:r w:rsidR="00333430">
        <w:rPr>
          <w:rFonts w:ascii="Times New Roman" w:hAnsi="Times New Roman" w:cs="Times New Roman"/>
          <w:sz w:val="24"/>
          <w:szCs w:val="24"/>
        </w:rPr>
        <w:t>,</w:t>
      </w:r>
      <w:r w:rsidRPr="002D282B">
        <w:rPr>
          <w:rFonts w:ascii="Times New Roman" w:hAnsi="Times New Roman" w:cs="Times New Roman"/>
          <w:sz w:val="24"/>
          <w:szCs w:val="24"/>
        </w:rPr>
        <w:t xml:space="preserve"> </w:t>
      </w:r>
      <w:r w:rsidR="002D282B" w:rsidRPr="002D282B">
        <w:rPr>
          <w:rFonts w:ascii="Times New Roman" w:hAnsi="Times New Roman" w:cs="Times New Roman"/>
          <w:sz w:val="24"/>
          <w:szCs w:val="24"/>
        </w:rPr>
        <w:t>взято за основу показник «відсоток розгляду». Цей показник є одним з основних показників, що використовується в країнах-членах Ради Європи, а також США та в країнах-членах Міжнародного консорціуму за досконалість суду. Відсоток розгляду – це кількість розглянутих справ і матеріалів за звітний період, поділена на кількість нових справ і матеріалів, що надійшли за звітний період, та помножена на 100 відсотків.</w:t>
      </w:r>
      <w:r w:rsidR="002D282B">
        <w:rPr>
          <w:rFonts w:ascii="Times New Roman" w:hAnsi="Times New Roman" w:cs="Times New Roman"/>
          <w:sz w:val="24"/>
          <w:szCs w:val="24"/>
        </w:rPr>
        <w:t xml:space="preserve"> Ц</w:t>
      </w:r>
      <w:r w:rsidRPr="002D282B">
        <w:rPr>
          <w:rFonts w:ascii="Times New Roman" w:hAnsi="Times New Roman" w:cs="Times New Roman"/>
          <w:sz w:val="24"/>
          <w:szCs w:val="24"/>
        </w:rPr>
        <w:t>ей показник запропоновано використовувати як один із доцільних і об’єктивних</w:t>
      </w:r>
      <w:r w:rsidRPr="00A53ABD">
        <w:rPr>
          <w:rFonts w:ascii="Times New Roman" w:hAnsi="Times New Roman" w:cs="Times New Roman"/>
          <w:sz w:val="24"/>
          <w:szCs w:val="24"/>
        </w:rPr>
        <w:t xml:space="preserve"> показників, який дає можливість оцінити, наскільки успішно суд працює над розглядом справ.</w:t>
      </w:r>
    </w:p>
    <w:p w:rsidR="00A53ABD" w:rsidRPr="00A53ABD" w:rsidRDefault="00A53ABD" w:rsidP="002D282B">
      <w:pPr>
        <w:spacing w:after="0" w:line="0" w:lineRule="atLeast"/>
        <w:ind w:firstLine="709"/>
        <w:jc w:val="both"/>
        <w:rPr>
          <w:rFonts w:ascii="Times New Roman" w:hAnsi="Times New Roman" w:cs="Times New Roman"/>
          <w:sz w:val="24"/>
          <w:szCs w:val="24"/>
        </w:rPr>
      </w:pPr>
      <w:r w:rsidRPr="00A53ABD">
        <w:rPr>
          <w:rFonts w:ascii="Times New Roman" w:hAnsi="Times New Roman" w:cs="Times New Roman"/>
          <w:sz w:val="24"/>
          <w:szCs w:val="24"/>
        </w:rPr>
        <w:t>За оцінками Європейської комісії з ефективності правосуддя (</w:t>
      </w:r>
      <w:r w:rsidR="00333430">
        <w:rPr>
          <w:rFonts w:ascii="Times New Roman" w:hAnsi="Times New Roman" w:cs="Times New Roman"/>
          <w:sz w:val="24"/>
          <w:szCs w:val="24"/>
        </w:rPr>
        <w:t xml:space="preserve">далі - </w:t>
      </w:r>
      <w:r w:rsidRPr="00A53ABD">
        <w:rPr>
          <w:rFonts w:ascii="Times New Roman" w:hAnsi="Times New Roman" w:cs="Times New Roman"/>
          <w:sz w:val="24"/>
          <w:szCs w:val="24"/>
          <w:lang w:val="en-US"/>
        </w:rPr>
        <w:t>CEPEJ</w:t>
      </w:r>
      <w:r w:rsidRPr="00A53ABD">
        <w:rPr>
          <w:rFonts w:ascii="Times New Roman" w:hAnsi="Times New Roman" w:cs="Times New Roman"/>
          <w:sz w:val="24"/>
          <w:szCs w:val="24"/>
        </w:rPr>
        <w:t xml:space="preserve">) цей показник є найбільш інформативним для визначення ефективності діяльності суду, адже він дає можливість отримати уявлення про здатність суду забезпечувати раціональне планування і розподіл ресурсів з метою своєчасного розгляду справ за умови нерівномірності їх надходження і відсутності додаткових ресурсів. Вітчизняні суди мають виходити з рекомендацій </w:t>
      </w:r>
      <w:r w:rsidRPr="00A53ABD">
        <w:rPr>
          <w:rFonts w:ascii="Times New Roman" w:hAnsi="Times New Roman" w:cs="Times New Roman"/>
          <w:sz w:val="24"/>
          <w:szCs w:val="24"/>
          <w:lang w:val="en-US"/>
        </w:rPr>
        <w:t>CEPEJ</w:t>
      </w:r>
      <w:r w:rsidRPr="00A53ABD">
        <w:rPr>
          <w:rFonts w:ascii="Times New Roman" w:hAnsi="Times New Roman" w:cs="Times New Roman"/>
          <w:sz w:val="24"/>
          <w:szCs w:val="24"/>
        </w:rPr>
        <w:t>, які базуються на узагальненні практики в різних європейських країнах. Ці рекомендації фактично встановлюють стандарт, з яким має пор</w:t>
      </w:r>
      <w:r w:rsidR="00333430">
        <w:rPr>
          <w:rFonts w:ascii="Times New Roman" w:hAnsi="Times New Roman" w:cs="Times New Roman"/>
          <w:sz w:val="24"/>
          <w:szCs w:val="24"/>
        </w:rPr>
        <w:t>івнюватись фактичний показник:</w:t>
      </w:r>
      <w:r w:rsidRPr="00A53ABD">
        <w:rPr>
          <w:rFonts w:ascii="Times New Roman" w:hAnsi="Times New Roman" w:cs="Times New Roman"/>
          <w:sz w:val="24"/>
          <w:szCs w:val="24"/>
        </w:rPr>
        <w:t xml:space="preserve"> 84% і нижче – чітка ознака неналежної організації роботи суду, що потребує не</w:t>
      </w:r>
      <w:r w:rsidR="00333430">
        <w:rPr>
          <w:rFonts w:ascii="Times New Roman" w:hAnsi="Times New Roman" w:cs="Times New Roman"/>
          <w:sz w:val="24"/>
          <w:szCs w:val="24"/>
        </w:rPr>
        <w:t>відкладного реагування;</w:t>
      </w:r>
      <w:r w:rsidRPr="00A53ABD">
        <w:rPr>
          <w:rFonts w:ascii="Times New Roman" w:hAnsi="Times New Roman" w:cs="Times New Roman"/>
          <w:sz w:val="24"/>
          <w:szCs w:val="24"/>
        </w:rPr>
        <w:t xml:space="preserve"> 85-95% - свідчит</w:t>
      </w:r>
      <w:r w:rsidR="00333430">
        <w:rPr>
          <w:rFonts w:ascii="Times New Roman" w:hAnsi="Times New Roman" w:cs="Times New Roman"/>
          <w:sz w:val="24"/>
          <w:szCs w:val="24"/>
        </w:rPr>
        <w:t>ь про існування певних проблем у</w:t>
      </w:r>
      <w:r w:rsidRPr="00A53ABD">
        <w:rPr>
          <w:rFonts w:ascii="Times New Roman" w:hAnsi="Times New Roman" w:cs="Times New Roman"/>
          <w:sz w:val="24"/>
          <w:szCs w:val="24"/>
        </w:rPr>
        <w:t xml:space="preserve"> роботі суду, які можуть мати негативні наслідки в </w:t>
      </w:r>
      <w:r w:rsidRPr="00A53ABD">
        <w:rPr>
          <w:rFonts w:ascii="Times New Roman" w:hAnsi="Times New Roman" w:cs="Times New Roman"/>
          <w:sz w:val="24"/>
          <w:szCs w:val="24"/>
        </w:rPr>
        <w:lastRenderedPageBreak/>
        <w:t xml:space="preserve">найближчій перспективі; 96-102% - оптимальний рівень роботи суду (мінімально прийнятний рівень); 103% і більше – передова практика, свідчення дуже ефективної організації роботи суду. Проте значення показника понад 120% свідчить про значний попередній залишок справ та певне відставання в роботі суду з розгляду справ у минулому. </w:t>
      </w:r>
    </w:p>
    <w:p w:rsidR="00750C9A" w:rsidRPr="002D282B" w:rsidRDefault="00A53ABD" w:rsidP="00750C9A">
      <w:pPr>
        <w:pStyle w:val="ac"/>
        <w:spacing w:line="0" w:lineRule="atLeast"/>
        <w:ind w:firstLine="708"/>
        <w:jc w:val="both"/>
        <w:rPr>
          <w:b w:val="0"/>
          <w:noProof/>
          <w:sz w:val="24"/>
          <w:szCs w:val="24"/>
        </w:rPr>
      </w:pPr>
      <w:r w:rsidRPr="00A53ABD">
        <w:rPr>
          <w:b w:val="0"/>
          <w:noProof/>
          <w:sz w:val="24"/>
          <w:szCs w:val="24"/>
        </w:rPr>
        <w:t>Відповідно до рішення Ради суддів України від 2 квітня 2015 року № 28 цей показник як відсоток розгляду справ є одним із базових показників роботи суду в сист</w:t>
      </w:r>
      <w:r w:rsidR="00333430">
        <w:rPr>
          <w:b w:val="0"/>
          <w:noProof/>
          <w:sz w:val="24"/>
          <w:szCs w:val="24"/>
        </w:rPr>
        <w:t>емі оцінювання його діяльності. Також</w:t>
      </w:r>
      <w:r w:rsidRPr="00A53ABD">
        <w:rPr>
          <w:b w:val="0"/>
          <w:noProof/>
          <w:sz w:val="24"/>
          <w:szCs w:val="24"/>
        </w:rPr>
        <w:t xml:space="preserve"> цей показник</w:t>
      </w:r>
      <w:r w:rsidR="002D282B">
        <w:rPr>
          <w:b w:val="0"/>
          <w:noProof/>
          <w:sz w:val="24"/>
          <w:szCs w:val="24"/>
        </w:rPr>
        <w:t xml:space="preserve"> присутній у звіті форми № 1-оас</w:t>
      </w:r>
      <w:r w:rsidRPr="00A53ABD">
        <w:rPr>
          <w:b w:val="0"/>
          <w:noProof/>
          <w:sz w:val="24"/>
          <w:szCs w:val="24"/>
        </w:rPr>
        <w:t>, затвердженому наказом Державної судової адміністрації України від 09.03.2017 № 311. У</w:t>
      </w:r>
      <w:r w:rsidR="002D282B">
        <w:rPr>
          <w:b w:val="0"/>
          <w:noProof/>
          <w:sz w:val="24"/>
          <w:szCs w:val="24"/>
        </w:rPr>
        <w:t xml:space="preserve"> звітному періоді</w:t>
      </w:r>
      <w:r w:rsidRPr="00A53ABD">
        <w:rPr>
          <w:b w:val="0"/>
          <w:noProof/>
          <w:sz w:val="24"/>
          <w:szCs w:val="24"/>
        </w:rPr>
        <w:t xml:space="preserve"> відсоток розгляду справ </w:t>
      </w:r>
      <w:r w:rsidR="002D282B">
        <w:rPr>
          <w:b w:val="0"/>
          <w:noProof/>
          <w:sz w:val="24"/>
          <w:szCs w:val="24"/>
        </w:rPr>
        <w:t xml:space="preserve">в суді </w:t>
      </w:r>
      <w:r w:rsidRPr="00A53ABD">
        <w:rPr>
          <w:b w:val="0"/>
          <w:noProof/>
          <w:sz w:val="24"/>
          <w:szCs w:val="24"/>
        </w:rPr>
        <w:t xml:space="preserve">становив </w:t>
      </w:r>
      <w:r w:rsidR="002D282B" w:rsidRPr="002D282B">
        <w:rPr>
          <w:b w:val="0"/>
          <w:noProof/>
          <w:sz w:val="24"/>
          <w:szCs w:val="24"/>
        </w:rPr>
        <w:t>91 %</w:t>
      </w:r>
      <w:r w:rsidR="002D282B">
        <w:rPr>
          <w:b w:val="0"/>
          <w:noProof/>
          <w:sz w:val="24"/>
          <w:szCs w:val="24"/>
        </w:rPr>
        <w:t>.</w:t>
      </w:r>
      <w:r w:rsidR="00750C9A">
        <w:rPr>
          <w:b w:val="0"/>
          <w:noProof/>
          <w:sz w:val="24"/>
          <w:szCs w:val="24"/>
        </w:rPr>
        <w:t xml:space="preserve"> Не має можливості порівняти цей показник із дільністю суду в  2016 році, оскільки такий показник не обраховувався.  </w:t>
      </w:r>
    </w:p>
    <w:p w:rsidR="00A53ABD" w:rsidRPr="00750C9A" w:rsidRDefault="002D282B" w:rsidP="00750C9A">
      <w:pPr>
        <w:widowControl w:val="0"/>
        <w:spacing w:after="0" w:line="0" w:lineRule="atLeast"/>
        <w:ind w:firstLine="780"/>
        <w:jc w:val="both"/>
        <w:rPr>
          <w:rFonts w:ascii="Times New Roman" w:eastAsia="Times New Roman" w:hAnsi="Times New Roman" w:cs="Times New Roman"/>
          <w:sz w:val="24"/>
          <w:szCs w:val="24"/>
          <w:lang w:eastAsia="uk-UA" w:bidi="uk-UA"/>
        </w:rPr>
      </w:pPr>
      <w:r w:rsidRPr="00207F89">
        <w:rPr>
          <w:rFonts w:ascii="Times New Roman" w:eastAsia="Times New Roman" w:hAnsi="Times New Roman" w:cs="Times New Roman"/>
          <w:sz w:val="24"/>
          <w:szCs w:val="24"/>
          <w:lang w:eastAsia="uk-UA" w:bidi="uk-UA"/>
        </w:rPr>
        <w:t xml:space="preserve">На базі </w:t>
      </w:r>
      <w:r>
        <w:rPr>
          <w:rFonts w:ascii="Times New Roman" w:eastAsia="Times New Roman" w:hAnsi="Times New Roman" w:cs="Times New Roman"/>
          <w:sz w:val="24"/>
          <w:szCs w:val="24"/>
          <w:lang w:eastAsia="uk-UA" w:bidi="uk-UA"/>
        </w:rPr>
        <w:t xml:space="preserve">статистичних </w:t>
      </w:r>
      <w:r w:rsidRPr="00207F89">
        <w:rPr>
          <w:rFonts w:ascii="Times New Roman" w:eastAsia="Times New Roman" w:hAnsi="Times New Roman" w:cs="Times New Roman"/>
          <w:sz w:val="24"/>
          <w:szCs w:val="24"/>
          <w:lang w:eastAsia="uk-UA" w:bidi="uk-UA"/>
        </w:rPr>
        <w:t xml:space="preserve">показників </w:t>
      </w:r>
      <w:r>
        <w:rPr>
          <w:rFonts w:ascii="Times New Roman" w:eastAsia="Times New Roman" w:hAnsi="Times New Roman" w:cs="Times New Roman"/>
          <w:sz w:val="24"/>
          <w:szCs w:val="24"/>
          <w:lang w:eastAsia="uk-UA" w:bidi="uk-UA"/>
        </w:rPr>
        <w:t>в суді</w:t>
      </w:r>
      <w:r w:rsidRPr="00207F89">
        <w:rPr>
          <w:rFonts w:ascii="Times New Roman" w:eastAsia="Times New Roman" w:hAnsi="Times New Roman" w:cs="Times New Roman"/>
          <w:sz w:val="24"/>
          <w:szCs w:val="24"/>
          <w:lang w:eastAsia="uk-UA" w:bidi="uk-UA"/>
        </w:rPr>
        <w:t xml:space="preserve"> щомісячно проводився розрахуно</w:t>
      </w:r>
      <w:r>
        <w:rPr>
          <w:rFonts w:ascii="Times New Roman" w:eastAsia="Times New Roman" w:hAnsi="Times New Roman" w:cs="Times New Roman"/>
          <w:sz w:val="24"/>
          <w:szCs w:val="24"/>
          <w:lang w:eastAsia="uk-UA" w:bidi="uk-UA"/>
        </w:rPr>
        <w:t>к середньомісячно</w:t>
      </w:r>
      <w:r w:rsidR="00750C9A">
        <w:rPr>
          <w:rFonts w:ascii="Times New Roman" w:eastAsia="Times New Roman" w:hAnsi="Times New Roman" w:cs="Times New Roman"/>
          <w:sz w:val="24"/>
          <w:szCs w:val="24"/>
          <w:lang w:eastAsia="uk-UA" w:bidi="uk-UA"/>
        </w:rPr>
        <w:t>го розгляду</w:t>
      </w:r>
      <w:r>
        <w:rPr>
          <w:rFonts w:ascii="Times New Roman" w:eastAsia="Times New Roman" w:hAnsi="Times New Roman" w:cs="Times New Roman"/>
          <w:sz w:val="24"/>
          <w:szCs w:val="24"/>
          <w:lang w:eastAsia="uk-UA" w:bidi="uk-UA"/>
        </w:rPr>
        <w:t xml:space="preserve"> справ і матеріалів.</w:t>
      </w:r>
    </w:p>
    <w:p w:rsidR="00254BAE" w:rsidRDefault="00254BAE" w:rsidP="00254BAE">
      <w:pPr>
        <w:widowControl w:val="0"/>
        <w:spacing w:after="0" w:line="0" w:lineRule="atLeast"/>
        <w:ind w:firstLine="780"/>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Порівняльна тенденція середньомісячного розгляду справ та матеріалів за 2015-2017 роки відображена у наступній діаграмі.</w:t>
      </w:r>
    </w:p>
    <w:p w:rsidR="00254BAE" w:rsidRDefault="00254BAE" w:rsidP="00254BAE">
      <w:pPr>
        <w:widowControl w:val="0"/>
        <w:spacing w:after="0" w:line="0" w:lineRule="atLeast"/>
        <w:ind w:firstLine="780"/>
        <w:jc w:val="both"/>
        <w:rPr>
          <w:rFonts w:ascii="Times New Roman" w:eastAsia="Times New Roman" w:hAnsi="Times New Roman" w:cs="Times New Roman"/>
          <w:sz w:val="24"/>
          <w:szCs w:val="24"/>
          <w:lang w:eastAsia="uk-UA" w:bidi="uk-UA"/>
        </w:rPr>
      </w:pPr>
    </w:p>
    <w:p w:rsidR="00254BAE" w:rsidRDefault="00254BAE" w:rsidP="00254BAE">
      <w:pPr>
        <w:widowControl w:val="0"/>
        <w:spacing w:after="0" w:line="0" w:lineRule="atLeast"/>
        <w:ind w:firstLine="780"/>
        <w:jc w:val="both"/>
        <w:rPr>
          <w:rFonts w:ascii="Times New Roman" w:eastAsia="Times New Roman" w:hAnsi="Times New Roman" w:cs="Times New Roman"/>
          <w:sz w:val="24"/>
          <w:szCs w:val="24"/>
          <w:lang w:eastAsia="uk-UA" w:bidi="uk-UA"/>
        </w:rPr>
      </w:pPr>
      <w:r w:rsidRPr="00254BAE">
        <w:rPr>
          <w:rFonts w:ascii="Times New Roman" w:eastAsia="Times New Roman" w:hAnsi="Times New Roman" w:cs="Times New Roman"/>
          <w:noProof/>
          <w:sz w:val="24"/>
          <w:szCs w:val="24"/>
          <w:lang w:eastAsia="uk-UA"/>
        </w:rPr>
        <w:drawing>
          <wp:inline distT="0" distB="0" distL="0" distR="0">
            <wp:extent cx="5486400" cy="2705100"/>
            <wp:effectExtent l="0" t="0" r="0"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59BE" w:rsidRDefault="002859BE" w:rsidP="00254BAE">
      <w:pPr>
        <w:widowControl w:val="0"/>
        <w:spacing w:after="0" w:line="0" w:lineRule="atLeast"/>
        <w:ind w:firstLine="780"/>
        <w:jc w:val="both"/>
        <w:rPr>
          <w:rFonts w:ascii="Times New Roman" w:eastAsia="Times New Roman" w:hAnsi="Times New Roman" w:cs="Times New Roman"/>
          <w:sz w:val="24"/>
          <w:szCs w:val="24"/>
          <w:lang w:eastAsia="uk-UA" w:bidi="uk-UA"/>
        </w:rPr>
      </w:pPr>
    </w:p>
    <w:p w:rsidR="00254BAE" w:rsidRDefault="00254BAE" w:rsidP="00254BAE">
      <w:pPr>
        <w:widowControl w:val="0"/>
        <w:spacing w:after="0" w:line="0" w:lineRule="atLeast"/>
        <w:ind w:firstLine="780"/>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 xml:space="preserve">Як бачимо середньомісячний показник розгляду справ та матеріалів має тенденцію до </w:t>
      </w:r>
      <w:r w:rsidR="002859BE">
        <w:rPr>
          <w:rFonts w:ascii="Times New Roman" w:eastAsia="Times New Roman" w:hAnsi="Times New Roman" w:cs="Times New Roman"/>
          <w:sz w:val="24"/>
          <w:szCs w:val="24"/>
          <w:lang w:eastAsia="uk-UA" w:bidi="uk-UA"/>
        </w:rPr>
        <w:t xml:space="preserve">збільшення </w:t>
      </w:r>
      <w:r>
        <w:rPr>
          <w:rFonts w:ascii="Times New Roman" w:eastAsia="Times New Roman" w:hAnsi="Times New Roman" w:cs="Times New Roman"/>
          <w:sz w:val="24"/>
          <w:szCs w:val="24"/>
          <w:lang w:eastAsia="uk-UA" w:bidi="uk-UA"/>
        </w:rPr>
        <w:t xml:space="preserve">та </w:t>
      </w:r>
      <w:r w:rsidR="00333430">
        <w:rPr>
          <w:rFonts w:ascii="Times New Roman" w:eastAsia="Times New Roman" w:hAnsi="Times New Roman" w:cs="Times New Roman"/>
          <w:sz w:val="24"/>
          <w:szCs w:val="24"/>
          <w:lang w:eastAsia="uk-UA" w:bidi="uk-UA"/>
        </w:rPr>
        <w:t>в 2017 році збільшився</w:t>
      </w:r>
      <w:r w:rsidR="002859BE">
        <w:rPr>
          <w:rFonts w:ascii="Times New Roman" w:eastAsia="Times New Roman" w:hAnsi="Times New Roman" w:cs="Times New Roman"/>
          <w:sz w:val="24"/>
          <w:szCs w:val="24"/>
          <w:lang w:eastAsia="uk-UA" w:bidi="uk-UA"/>
        </w:rPr>
        <w:t xml:space="preserve"> на 3</w:t>
      </w:r>
      <w:r>
        <w:rPr>
          <w:rFonts w:ascii="Times New Roman" w:eastAsia="Times New Roman" w:hAnsi="Times New Roman" w:cs="Times New Roman"/>
          <w:sz w:val="24"/>
          <w:szCs w:val="24"/>
          <w:lang w:eastAsia="uk-UA" w:bidi="uk-UA"/>
        </w:rPr>
        <w:t xml:space="preserve"> одиниці у порівняні із 2016 роком.</w:t>
      </w:r>
    </w:p>
    <w:p w:rsidR="002874E7" w:rsidRPr="002859BE" w:rsidRDefault="002874E7" w:rsidP="00254BAE">
      <w:pPr>
        <w:widowControl w:val="0"/>
        <w:spacing w:after="0" w:line="0" w:lineRule="atLeast"/>
        <w:ind w:firstLine="708"/>
        <w:jc w:val="both"/>
        <w:rPr>
          <w:rFonts w:ascii="Times New Roman" w:eastAsia="Arial Unicode MS" w:hAnsi="Times New Roman" w:cs="Times New Roman"/>
          <w:color w:val="000000"/>
          <w:sz w:val="24"/>
          <w:szCs w:val="24"/>
          <w:lang w:val="ru-RU" w:eastAsia="uk-UA" w:bidi="uk-UA"/>
        </w:rPr>
      </w:pPr>
      <w:bookmarkStart w:id="0" w:name="_GoBack"/>
      <w:bookmarkEnd w:id="0"/>
    </w:p>
    <w:p w:rsidR="00CB17EE" w:rsidRPr="002874E7" w:rsidRDefault="00CB17EE" w:rsidP="00CB17EE">
      <w:pPr>
        <w:pStyle w:val="ac"/>
        <w:numPr>
          <w:ilvl w:val="0"/>
          <w:numId w:val="9"/>
        </w:numPr>
        <w:jc w:val="left"/>
        <w:rPr>
          <w:noProof/>
        </w:rPr>
      </w:pPr>
      <w:r w:rsidRPr="0055388B">
        <w:rPr>
          <w:noProof/>
        </w:rPr>
        <w:t>Загальні показники розгляду справ та матеріалів.</w:t>
      </w:r>
    </w:p>
    <w:p w:rsidR="002874E7" w:rsidRPr="002859BE" w:rsidRDefault="002874E7" w:rsidP="002874E7">
      <w:pPr>
        <w:pStyle w:val="ac"/>
        <w:jc w:val="left"/>
        <w:rPr>
          <w:noProof/>
          <w:lang w:val="ru-RU"/>
        </w:rPr>
      </w:pPr>
    </w:p>
    <w:p w:rsidR="002874E7" w:rsidRPr="002874E7" w:rsidRDefault="002874E7" w:rsidP="002874E7">
      <w:pPr>
        <w:widowControl w:val="0"/>
        <w:spacing w:after="0" w:line="0" w:lineRule="atLeast"/>
        <w:ind w:firstLine="708"/>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Для проведення аналізу загальних показників розгляду справ та матеріалів дані взято із звіту форми № 2-а,</w:t>
      </w:r>
      <w:r w:rsidR="00DA34CF">
        <w:rPr>
          <w:rFonts w:ascii="Times New Roman" w:eastAsia="Times New Roman" w:hAnsi="Times New Roman" w:cs="Times New Roman"/>
          <w:color w:val="000000"/>
          <w:sz w:val="24"/>
          <w:szCs w:val="24"/>
          <w:lang w:eastAsia="uk-UA" w:bidi="uk-UA"/>
        </w:rPr>
        <w:t xml:space="preserve"> який затверджено у редакції відповідно до наказу Державної судової адміністрації України № 50 від 24.04.2014</w:t>
      </w:r>
      <w:r>
        <w:rPr>
          <w:rFonts w:ascii="Times New Roman" w:eastAsia="Times New Roman" w:hAnsi="Times New Roman" w:cs="Times New Roman"/>
          <w:color w:val="000000"/>
          <w:sz w:val="24"/>
          <w:szCs w:val="24"/>
          <w:lang w:eastAsia="uk-UA" w:bidi="uk-UA"/>
        </w:rPr>
        <w:t>.</w:t>
      </w:r>
    </w:p>
    <w:p w:rsidR="00DC227E" w:rsidRDefault="00DC227E" w:rsidP="002874E7">
      <w:pPr>
        <w:widowControl w:val="0"/>
        <w:spacing w:after="0" w:line="0" w:lineRule="atLeast"/>
        <w:ind w:firstLine="708"/>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У 2017 році</w:t>
      </w:r>
      <w:r w:rsidR="002874E7">
        <w:rPr>
          <w:rFonts w:ascii="Times New Roman" w:eastAsia="Times New Roman" w:hAnsi="Times New Roman" w:cs="Times New Roman"/>
          <w:color w:val="000000"/>
          <w:sz w:val="24"/>
          <w:szCs w:val="24"/>
          <w:lang w:eastAsia="uk-UA" w:bidi="uk-UA"/>
        </w:rPr>
        <w:t xml:space="preserve"> на розгляді в суді перебувало </w:t>
      </w:r>
      <w:r w:rsidR="002874E7" w:rsidRPr="002874E7">
        <w:rPr>
          <w:rFonts w:ascii="Times New Roman" w:eastAsia="Times New Roman" w:hAnsi="Times New Roman" w:cs="Times New Roman"/>
          <w:color w:val="000000"/>
          <w:sz w:val="24"/>
          <w:szCs w:val="24"/>
          <w:lang w:val="ru-RU" w:eastAsia="uk-UA" w:bidi="uk-UA"/>
        </w:rPr>
        <w:t>5</w:t>
      </w:r>
      <w:r w:rsidR="002874E7">
        <w:rPr>
          <w:rFonts w:ascii="Times New Roman" w:eastAsia="Times New Roman" w:hAnsi="Times New Roman" w:cs="Times New Roman"/>
          <w:color w:val="000000"/>
          <w:sz w:val="24"/>
          <w:szCs w:val="24"/>
          <w:lang w:val="ru-RU" w:eastAsia="uk-UA" w:bidi="uk-UA"/>
        </w:rPr>
        <w:t>239</w:t>
      </w:r>
      <w:r w:rsidR="00207F89" w:rsidRPr="00207F89">
        <w:rPr>
          <w:rFonts w:ascii="Times New Roman" w:eastAsia="Times New Roman" w:hAnsi="Times New Roman" w:cs="Times New Roman"/>
          <w:color w:val="000000"/>
          <w:sz w:val="24"/>
          <w:szCs w:val="24"/>
          <w:lang w:eastAsia="uk-UA" w:bidi="uk-UA"/>
        </w:rPr>
        <w:t xml:space="preserve"> </w:t>
      </w:r>
      <w:r w:rsidR="002874E7">
        <w:rPr>
          <w:rFonts w:ascii="Times New Roman" w:eastAsia="Times New Roman" w:hAnsi="Times New Roman" w:cs="Times New Roman"/>
          <w:color w:val="000000"/>
          <w:sz w:val="24"/>
          <w:szCs w:val="24"/>
          <w:lang w:eastAsia="uk-UA" w:bidi="uk-UA"/>
        </w:rPr>
        <w:t>позовних заяв</w:t>
      </w:r>
      <w:r w:rsidR="00DA34CF">
        <w:rPr>
          <w:rFonts w:ascii="Times New Roman" w:eastAsia="Times New Roman" w:hAnsi="Times New Roman" w:cs="Times New Roman"/>
          <w:color w:val="000000"/>
          <w:sz w:val="24"/>
          <w:szCs w:val="24"/>
          <w:lang w:eastAsia="uk-UA" w:bidi="uk-UA"/>
        </w:rPr>
        <w:t>, що на 8 % більше порівняно із аналогічним періодом 2016 року (4822). І</w:t>
      </w:r>
      <w:r w:rsidR="002874E7">
        <w:rPr>
          <w:rFonts w:ascii="Times New Roman" w:eastAsia="Times New Roman" w:hAnsi="Times New Roman" w:cs="Times New Roman"/>
          <w:color w:val="000000"/>
          <w:sz w:val="24"/>
          <w:szCs w:val="24"/>
          <w:lang w:eastAsia="uk-UA" w:bidi="uk-UA"/>
        </w:rPr>
        <w:t>з них 5104 позовні заяви</w:t>
      </w:r>
      <w:r>
        <w:rPr>
          <w:rFonts w:ascii="Times New Roman" w:eastAsia="Times New Roman" w:hAnsi="Times New Roman" w:cs="Times New Roman"/>
          <w:color w:val="000000"/>
          <w:sz w:val="24"/>
          <w:szCs w:val="24"/>
          <w:lang w:eastAsia="uk-UA" w:bidi="uk-UA"/>
        </w:rPr>
        <w:t xml:space="preserve"> надійшли у звітному періоді</w:t>
      </w:r>
      <w:r w:rsidR="002874E7">
        <w:rPr>
          <w:rFonts w:ascii="Times New Roman" w:eastAsia="Times New Roman" w:hAnsi="Times New Roman" w:cs="Times New Roman"/>
          <w:color w:val="000000"/>
          <w:sz w:val="24"/>
          <w:szCs w:val="24"/>
          <w:lang w:eastAsia="uk-UA" w:bidi="uk-UA"/>
        </w:rPr>
        <w:t xml:space="preserve"> та 135 </w:t>
      </w:r>
      <w:r>
        <w:rPr>
          <w:rFonts w:ascii="Times New Roman" w:eastAsia="Times New Roman" w:hAnsi="Times New Roman" w:cs="Times New Roman"/>
          <w:color w:val="000000"/>
          <w:sz w:val="24"/>
          <w:szCs w:val="24"/>
          <w:lang w:eastAsia="uk-UA" w:bidi="uk-UA"/>
        </w:rPr>
        <w:t>позовних заяв перейшли, як залишок із попереднього періоду.</w:t>
      </w:r>
    </w:p>
    <w:p w:rsidR="00DC227E" w:rsidRDefault="00DC227E" w:rsidP="002874E7">
      <w:pPr>
        <w:widowControl w:val="0"/>
        <w:spacing w:after="0" w:line="0" w:lineRule="atLeast"/>
        <w:ind w:firstLine="708"/>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Із них відкрито провадження по 4237 позовних заявах, повернуто 750 позовних заяв, залишено без розгляду 23 позовні заяви, відмовлено у відкритті провадження по 79 позовних заявах, не вирішено питання про відкриття на кінець звітного періоду по 150 позовних заявах.</w:t>
      </w:r>
    </w:p>
    <w:p w:rsidR="00DC227E" w:rsidRDefault="00DC227E" w:rsidP="002874E7">
      <w:pPr>
        <w:widowControl w:val="0"/>
        <w:spacing w:after="0" w:line="0" w:lineRule="atLeast"/>
        <w:ind w:firstLine="708"/>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У відсотковому відношенні це виглядає наступним чином:</w:t>
      </w:r>
    </w:p>
    <w:p w:rsidR="00333430" w:rsidRDefault="00DC227E" w:rsidP="00333430">
      <w:pPr>
        <w:widowControl w:val="0"/>
        <w:spacing w:after="0" w:line="0" w:lineRule="atLeast"/>
        <w:ind w:firstLine="708"/>
        <w:jc w:val="center"/>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noProof/>
          <w:color w:val="000000"/>
          <w:sz w:val="24"/>
          <w:szCs w:val="24"/>
          <w:lang w:eastAsia="uk-UA"/>
        </w:rPr>
        <w:lastRenderedPageBreak/>
        <w:drawing>
          <wp:inline distT="0" distB="0" distL="0" distR="0" wp14:anchorId="6F0FBA81" wp14:editId="4972E844">
            <wp:extent cx="4735830" cy="2343150"/>
            <wp:effectExtent l="19050" t="0" r="2667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2787" w:rsidRDefault="00682787" w:rsidP="00682787">
      <w:pPr>
        <w:widowControl w:val="0"/>
        <w:spacing w:after="0" w:line="0" w:lineRule="atLeast"/>
        <w:ind w:firstLine="708"/>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В 2017 році на розгляді в суді перебувало </w:t>
      </w:r>
      <w:r>
        <w:rPr>
          <w:rFonts w:ascii="Times New Roman" w:eastAsia="Times New Roman" w:hAnsi="Times New Roman" w:cs="Times New Roman"/>
          <w:color w:val="000000"/>
          <w:sz w:val="24"/>
          <w:szCs w:val="24"/>
          <w:lang w:val="ru-RU" w:eastAsia="uk-UA" w:bidi="uk-UA"/>
        </w:rPr>
        <w:t>5268</w:t>
      </w:r>
      <w:r w:rsidRPr="00207F89">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справ</w:t>
      </w:r>
      <w:r w:rsidR="00DA34CF">
        <w:rPr>
          <w:rFonts w:ascii="Times New Roman" w:eastAsia="Times New Roman" w:hAnsi="Times New Roman" w:cs="Times New Roman"/>
          <w:color w:val="000000"/>
          <w:sz w:val="24"/>
          <w:szCs w:val="24"/>
          <w:lang w:eastAsia="uk-UA" w:bidi="uk-UA"/>
        </w:rPr>
        <w:t>, щ</w:t>
      </w:r>
      <w:r w:rsidR="00333430">
        <w:rPr>
          <w:rFonts w:ascii="Times New Roman" w:eastAsia="Times New Roman" w:hAnsi="Times New Roman" w:cs="Times New Roman"/>
          <w:color w:val="000000"/>
          <w:sz w:val="24"/>
          <w:szCs w:val="24"/>
          <w:lang w:eastAsia="uk-UA" w:bidi="uk-UA"/>
        </w:rPr>
        <w:t xml:space="preserve">о на  20 % більше у порівнянні </w:t>
      </w:r>
      <w:r w:rsidR="00DA34CF">
        <w:rPr>
          <w:rFonts w:ascii="Times New Roman" w:eastAsia="Times New Roman" w:hAnsi="Times New Roman" w:cs="Times New Roman"/>
          <w:color w:val="000000"/>
          <w:sz w:val="24"/>
          <w:szCs w:val="24"/>
          <w:lang w:eastAsia="uk-UA" w:bidi="uk-UA"/>
        </w:rPr>
        <w:t>з аналогічним періодом 2016 року</w:t>
      </w:r>
      <w:r w:rsidR="00115C80">
        <w:rPr>
          <w:rFonts w:ascii="Times New Roman" w:eastAsia="Times New Roman" w:hAnsi="Times New Roman" w:cs="Times New Roman"/>
          <w:color w:val="000000"/>
          <w:sz w:val="24"/>
          <w:szCs w:val="24"/>
          <w:lang w:eastAsia="uk-UA" w:bidi="uk-UA"/>
        </w:rPr>
        <w:t xml:space="preserve"> (4231)</w:t>
      </w:r>
      <w:r w:rsidR="00DA34CF">
        <w:rPr>
          <w:rFonts w:ascii="Times New Roman" w:eastAsia="Times New Roman" w:hAnsi="Times New Roman" w:cs="Times New Roman"/>
          <w:color w:val="000000"/>
          <w:sz w:val="24"/>
          <w:szCs w:val="24"/>
          <w:lang w:eastAsia="uk-UA" w:bidi="uk-UA"/>
        </w:rPr>
        <w:t>. І</w:t>
      </w:r>
      <w:r>
        <w:rPr>
          <w:rFonts w:ascii="Times New Roman" w:eastAsia="Times New Roman" w:hAnsi="Times New Roman" w:cs="Times New Roman"/>
          <w:color w:val="000000"/>
          <w:sz w:val="24"/>
          <w:szCs w:val="24"/>
          <w:lang w:eastAsia="uk-UA" w:bidi="uk-UA"/>
        </w:rPr>
        <w:t>з них 4313 справ надійшли у звітному періоді та 955 справ перейшли, як залишок із попереднього періоду.</w:t>
      </w:r>
    </w:p>
    <w:p w:rsidR="00682787" w:rsidRDefault="00682787" w:rsidP="00666237">
      <w:pPr>
        <w:widowControl w:val="0"/>
        <w:spacing w:after="0" w:line="0" w:lineRule="atLeast"/>
        <w:ind w:firstLine="708"/>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Із них задоволено позовні вимоги у </w:t>
      </w:r>
      <w:r w:rsidR="00666237">
        <w:rPr>
          <w:rFonts w:ascii="Times New Roman" w:eastAsia="Times New Roman" w:hAnsi="Times New Roman" w:cs="Times New Roman"/>
          <w:color w:val="000000"/>
          <w:sz w:val="24"/>
          <w:szCs w:val="24"/>
          <w:lang w:eastAsia="uk-UA" w:bidi="uk-UA"/>
        </w:rPr>
        <w:t>2736</w:t>
      </w:r>
      <w:r>
        <w:rPr>
          <w:rFonts w:ascii="Times New Roman" w:eastAsia="Times New Roman" w:hAnsi="Times New Roman" w:cs="Times New Roman"/>
          <w:color w:val="000000"/>
          <w:sz w:val="24"/>
          <w:szCs w:val="24"/>
          <w:lang w:eastAsia="uk-UA" w:bidi="uk-UA"/>
        </w:rPr>
        <w:t xml:space="preserve"> </w:t>
      </w:r>
      <w:r w:rsidR="00666237">
        <w:rPr>
          <w:rFonts w:ascii="Times New Roman" w:eastAsia="Times New Roman" w:hAnsi="Times New Roman" w:cs="Times New Roman"/>
          <w:color w:val="000000"/>
          <w:sz w:val="24"/>
          <w:szCs w:val="24"/>
          <w:lang w:eastAsia="uk-UA" w:bidi="uk-UA"/>
        </w:rPr>
        <w:t>справах</w:t>
      </w:r>
      <w:r>
        <w:rPr>
          <w:rFonts w:ascii="Times New Roman" w:eastAsia="Times New Roman" w:hAnsi="Times New Roman" w:cs="Times New Roman"/>
          <w:color w:val="000000"/>
          <w:sz w:val="24"/>
          <w:szCs w:val="24"/>
          <w:lang w:eastAsia="uk-UA" w:bidi="uk-UA"/>
        </w:rPr>
        <w:t xml:space="preserve">, </w:t>
      </w:r>
      <w:r w:rsidR="00666237">
        <w:rPr>
          <w:rFonts w:ascii="Times New Roman" w:eastAsia="Times New Roman" w:hAnsi="Times New Roman" w:cs="Times New Roman"/>
          <w:color w:val="000000"/>
          <w:sz w:val="24"/>
          <w:szCs w:val="24"/>
          <w:lang w:eastAsia="uk-UA" w:bidi="uk-UA"/>
        </w:rPr>
        <w:t>відмовлено у задоволені позову в 652 справах</w:t>
      </w:r>
      <w:r>
        <w:rPr>
          <w:rFonts w:ascii="Times New Roman" w:eastAsia="Times New Roman" w:hAnsi="Times New Roman" w:cs="Times New Roman"/>
          <w:color w:val="000000"/>
          <w:sz w:val="24"/>
          <w:szCs w:val="24"/>
          <w:lang w:eastAsia="uk-UA" w:bidi="uk-UA"/>
        </w:rPr>
        <w:t>, залише</w:t>
      </w:r>
      <w:r w:rsidR="00666237">
        <w:rPr>
          <w:rFonts w:ascii="Times New Roman" w:eastAsia="Times New Roman" w:hAnsi="Times New Roman" w:cs="Times New Roman"/>
          <w:color w:val="000000"/>
          <w:sz w:val="24"/>
          <w:szCs w:val="24"/>
          <w:lang w:eastAsia="uk-UA" w:bidi="uk-UA"/>
        </w:rPr>
        <w:t>но без розгляду 437 справ</w:t>
      </w:r>
      <w:r>
        <w:rPr>
          <w:rFonts w:ascii="Times New Roman" w:eastAsia="Times New Roman" w:hAnsi="Times New Roman" w:cs="Times New Roman"/>
          <w:color w:val="000000"/>
          <w:sz w:val="24"/>
          <w:szCs w:val="24"/>
          <w:lang w:eastAsia="uk-UA" w:bidi="uk-UA"/>
        </w:rPr>
        <w:t xml:space="preserve">, </w:t>
      </w:r>
      <w:r w:rsidR="00333430">
        <w:rPr>
          <w:rFonts w:ascii="Times New Roman" w:eastAsia="Times New Roman" w:hAnsi="Times New Roman" w:cs="Times New Roman"/>
          <w:color w:val="000000"/>
          <w:sz w:val="24"/>
          <w:szCs w:val="24"/>
          <w:lang w:eastAsia="uk-UA" w:bidi="uk-UA"/>
        </w:rPr>
        <w:t>закрито провадження в</w:t>
      </w:r>
      <w:r w:rsidR="00666237">
        <w:rPr>
          <w:rFonts w:ascii="Times New Roman" w:eastAsia="Times New Roman" w:hAnsi="Times New Roman" w:cs="Times New Roman"/>
          <w:color w:val="000000"/>
          <w:sz w:val="24"/>
          <w:szCs w:val="24"/>
          <w:lang w:eastAsia="uk-UA" w:bidi="uk-UA"/>
        </w:rPr>
        <w:t xml:space="preserve"> 166</w:t>
      </w:r>
      <w:r>
        <w:rPr>
          <w:rFonts w:ascii="Times New Roman" w:eastAsia="Times New Roman" w:hAnsi="Times New Roman" w:cs="Times New Roman"/>
          <w:color w:val="000000"/>
          <w:sz w:val="24"/>
          <w:szCs w:val="24"/>
          <w:lang w:eastAsia="uk-UA" w:bidi="uk-UA"/>
        </w:rPr>
        <w:t xml:space="preserve"> </w:t>
      </w:r>
      <w:r w:rsidR="00666237">
        <w:rPr>
          <w:rFonts w:ascii="Times New Roman" w:eastAsia="Times New Roman" w:hAnsi="Times New Roman" w:cs="Times New Roman"/>
          <w:color w:val="000000"/>
          <w:sz w:val="24"/>
          <w:szCs w:val="24"/>
          <w:lang w:eastAsia="uk-UA" w:bidi="uk-UA"/>
        </w:rPr>
        <w:t>справах</w:t>
      </w:r>
      <w:r>
        <w:rPr>
          <w:rFonts w:ascii="Times New Roman" w:eastAsia="Times New Roman" w:hAnsi="Times New Roman" w:cs="Times New Roman"/>
          <w:color w:val="000000"/>
          <w:sz w:val="24"/>
          <w:szCs w:val="24"/>
          <w:lang w:eastAsia="uk-UA" w:bidi="uk-UA"/>
        </w:rPr>
        <w:t xml:space="preserve">, </w:t>
      </w:r>
      <w:r w:rsidR="00666237">
        <w:rPr>
          <w:rFonts w:ascii="Times New Roman" w:eastAsia="Times New Roman" w:hAnsi="Times New Roman" w:cs="Times New Roman"/>
          <w:color w:val="000000"/>
          <w:sz w:val="24"/>
          <w:szCs w:val="24"/>
          <w:lang w:eastAsia="uk-UA" w:bidi="uk-UA"/>
        </w:rPr>
        <w:t>залишок</w:t>
      </w:r>
      <w:r>
        <w:rPr>
          <w:rFonts w:ascii="Times New Roman" w:eastAsia="Times New Roman" w:hAnsi="Times New Roman" w:cs="Times New Roman"/>
          <w:color w:val="000000"/>
          <w:sz w:val="24"/>
          <w:szCs w:val="24"/>
          <w:lang w:eastAsia="uk-UA" w:bidi="uk-UA"/>
        </w:rPr>
        <w:t xml:space="preserve"> </w:t>
      </w:r>
      <w:r w:rsidR="00666237">
        <w:rPr>
          <w:rFonts w:ascii="Times New Roman" w:eastAsia="Times New Roman" w:hAnsi="Times New Roman" w:cs="Times New Roman"/>
          <w:color w:val="000000"/>
          <w:sz w:val="24"/>
          <w:szCs w:val="24"/>
          <w:lang w:eastAsia="uk-UA" w:bidi="uk-UA"/>
        </w:rPr>
        <w:t xml:space="preserve">нерозглянутих справ </w:t>
      </w:r>
      <w:r>
        <w:rPr>
          <w:rFonts w:ascii="Times New Roman" w:eastAsia="Times New Roman" w:hAnsi="Times New Roman" w:cs="Times New Roman"/>
          <w:color w:val="000000"/>
          <w:sz w:val="24"/>
          <w:szCs w:val="24"/>
          <w:lang w:eastAsia="uk-UA" w:bidi="uk-UA"/>
        </w:rPr>
        <w:t xml:space="preserve">на кінець звітного періоду </w:t>
      </w:r>
      <w:r w:rsidR="00666237">
        <w:rPr>
          <w:rFonts w:ascii="Times New Roman" w:eastAsia="Times New Roman" w:hAnsi="Times New Roman" w:cs="Times New Roman"/>
          <w:color w:val="000000"/>
          <w:sz w:val="24"/>
          <w:szCs w:val="24"/>
          <w:lang w:eastAsia="uk-UA" w:bidi="uk-UA"/>
        </w:rPr>
        <w:t>становить 1387 справ</w:t>
      </w:r>
      <w:r>
        <w:rPr>
          <w:rFonts w:ascii="Times New Roman" w:eastAsia="Times New Roman" w:hAnsi="Times New Roman" w:cs="Times New Roman"/>
          <w:color w:val="000000"/>
          <w:sz w:val="24"/>
          <w:szCs w:val="24"/>
          <w:lang w:eastAsia="uk-UA" w:bidi="uk-UA"/>
        </w:rPr>
        <w:t>.</w:t>
      </w:r>
    </w:p>
    <w:p w:rsidR="00682787" w:rsidRDefault="00682787" w:rsidP="00682787">
      <w:pPr>
        <w:widowControl w:val="0"/>
        <w:spacing w:after="0" w:line="0" w:lineRule="atLeast"/>
        <w:ind w:firstLine="708"/>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У відсотковому відношенні це виглядає наступним чином:</w:t>
      </w:r>
    </w:p>
    <w:p w:rsidR="00DC227E" w:rsidRDefault="00666237" w:rsidP="00DC24A2">
      <w:pPr>
        <w:widowControl w:val="0"/>
        <w:spacing w:after="0" w:line="0" w:lineRule="atLeast"/>
        <w:ind w:firstLine="708"/>
        <w:jc w:val="center"/>
        <w:rPr>
          <w:rFonts w:ascii="Times New Roman" w:eastAsia="Times New Roman" w:hAnsi="Times New Roman" w:cs="Times New Roman"/>
          <w:color w:val="000000"/>
          <w:sz w:val="24"/>
          <w:szCs w:val="24"/>
          <w:lang w:eastAsia="uk-UA" w:bidi="uk-UA"/>
        </w:rPr>
      </w:pPr>
      <w:r w:rsidRPr="00666237">
        <w:rPr>
          <w:rFonts w:ascii="Times New Roman" w:eastAsia="Times New Roman" w:hAnsi="Times New Roman" w:cs="Times New Roman"/>
          <w:noProof/>
          <w:color w:val="000000"/>
          <w:sz w:val="24"/>
          <w:szCs w:val="24"/>
          <w:lang w:eastAsia="uk-UA"/>
        </w:rPr>
        <w:drawing>
          <wp:inline distT="0" distB="0" distL="0" distR="0">
            <wp:extent cx="4758690" cy="2621280"/>
            <wp:effectExtent l="19050" t="0" r="22860" b="7620"/>
            <wp:docPr id="1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6237" w:rsidRDefault="00666237" w:rsidP="002874E7">
      <w:pPr>
        <w:widowControl w:val="0"/>
        <w:spacing w:after="0" w:line="0" w:lineRule="atLeast"/>
        <w:ind w:firstLine="708"/>
        <w:jc w:val="both"/>
        <w:rPr>
          <w:rFonts w:ascii="Times New Roman" w:eastAsia="Times New Roman" w:hAnsi="Times New Roman" w:cs="Times New Roman"/>
          <w:color w:val="000000"/>
          <w:sz w:val="24"/>
          <w:szCs w:val="24"/>
          <w:lang w:eastAsia="uk-UA" w:bidi="uk-UA"/>
        </w:rPr>
      </w:pPr>
    </w:p>
    <w:p w:rsidR="00666237" w:rsidRDefault="00DC24A2" w:rsidP="002874E7">
      <w:pPr>
        <w:widowControl w:val="0"/>
        <w:spacing w:after="0" w:line="0" w:lineRule="atLeast"/>
        <w:ind w:firstLine="708"/>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Також у звітному періоді на розгляді перебувало 2278 матеріалів (заяви, клопотання, подання)</w:t>
      </w:r>
      <w:r w:rsidR="00DA34CF">
        <w:rPr>
          <w:rFonts w:ascii="Times New Roman" w:eastAsia="Times New Roman" w:hAnsi="Times New Roman" w:cs="Times New Roman"/>
          <w:color w:val="000000"/>
          <w:sz w:val="24"/>
          <w:szCs w:val="24"/>
          <w:lang w:eastAsia="uk-UA" w:bidi="uk-UA"/>
        </w:rPr>
        <w:t>, що на 15 % порівняно із 2016 роком</w:t>
      </w:r>
      <w:r w:rsidR="00115C80">
        <w:rPr>
          <w:rFonts w:ascii="Times New Roman" w:eastAsia="Times New Roman" w:hAnsi="Times New Roman" w:cs="Times New Roman"/>
          <w:color w:val="000000"/>
          <w:sz w:val="24"/>
          <w:szCs w:val="24"/>
          <w:lang w:eastAsia="uk-UA" w:bidi="uk-UA"/>
        </w:rPr>
        <w:t xml:space="preserve"> (1934)</w:t>
      </w:r>
      <w:r>
        <w:rPr>
          <w:rFonts w:ascii="Times New Roman" w:eastAsia="Times New Roman" w:hAnsi="Times New Roman" w:cs="Times New Roman"/>
          <w:color w:val="000000"/>
          <w:sz w:val="24"/>
          <w:szCs w:val="24"/>
          <w:lang w:eastAsia="uk-UA" w:bidi="uk-UA"/>
        </w:rPr>
        <w:t>. Із них задоволено 1498 матеріалів, відмовлено у задоволенні 578 матеріалів, залишено без розгляду 20 матеріалів, повернуто 12 матеріалів, залишок нерозглянутих матеріалів становить 160.</w:t>
      </w:r>
    </w:p>
    <w:p w:rsidR="00DC24A2" w:rsidRDefault="002874E7" w:rsidP="00DC24A2">
      <w:pPr>
        <w:widowControl w:val="0"/>
        <w:spacing w:after="0" w:line="0" w:lineRule="atLeast"/>
        <w:ind w:firstLine="708"/>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00DC24A2">
        <w:rPr>
          <w:rFonts w:ascii="Times New Roman" w:eastAsia="Times New Roman" w:hAnsi="Times New Roman" w:cs="Times New Roman"/>
          <w:color w:val="000000"/>
          <w:sz w:val="24"/>
          <w:szCs w:val="24"/>
          <w:lang w:eastAsia="uk-UA" w:bidi="uk-UA"/>
        </w:rPr>
        <w:t>У відсотковому відношенні це виглядає наступним чином:</w:t>
      </w:r>
    </w:p>
    <w:p w:rsidR="002874E7" w:rsidRDefault="00DC24A2" w:rsidP="00300205">
      <w:pPr>
        <w:widowControl w:val="0"/>
        <w:spacing w:after="0" w:line="0" w:lineRule="atLeast"/>
        <w:ind w:firstLine="708"/>
        <w:jc w:val="center"/>
        <w:rPr>
          <w:rFonts w:ascii="Times New Roman" w:eastAsia="Times New Roman" w:hAnsi="Times New Roman" w:cs="Times New Roman"/>
          <w:color w:val="000000"/>
          <w:sz w:val="24"/>
          <w:szCs w:val="24"/>
          <w:lang w:eastAsia="uk-UA" w:bidi="uk-UA"/>
        </w:rPr>
      </w:pPr>
      <w:r w:rsidRPr="00DC24A2">
        <w:rPr>
          <w:rFonts w:ascii="Times New Roman" w:eastAsia="Times New Roman" w:hAnsi="Times New Roman" w:cs="Times New Roman"/>
          <w:noProof/>
          <w:color w:val="000000"/>
          <w:sz w:val="24"/>
          <w:szCs w:val="24"/>
          <w:lang w:eastAsia="uk-UA"/>
        </w:rPr>
        <w:drawing>
          <wp:inline distT="0" distB="0" distL="0" distR="0">
            <wp:extent cx="4598670" cy="2621280"/>
            <wp:effectExtent l="19050" t="0" r="11430" b="7620"/>
            <wp:docPr id="1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24A2" w:rsidRDefault="00DC24A2" w:rsidP="002874E7">
      <w:pPr>
        <w:widowControl w:val="0"/>
        <w:spacing w:after="0" w:line="0" w:lineRule="atLeast"/>
        <w:ind w:firstLine="708"/>
        <w:jc w:val="both"/>
        <w:rPr>
          <w:rFonts w:ascii="Times New Roman" w:eastAsia="Times New Roman" w:hAnsi="Times New Roman" w:cs="Times New Roman"/>
          <w:color w:val="000000"/>
          <w:sz w:val="24"/>
          <w:szCs w:val="24"/>
          <w:lang w:eastAsia="uk-UA" w:bidi="uk-UA"/>
        </w:rPr>
      </w:pPr>
    </w:p>
    <w:p w:rsidR="00DC24A2" w:rsidRDefault="00DC24A2" w:rsidP="002874E7">
      <w:pPr>
        <w:widowControl w:val="0"/>
        <w:spacing w:after="0" w:line="0" w:lineRule="atLeast"/>
        <w:ind w:firstLine="708"/>
        <w:jc w:val="both"/>
        <w:rPr>
          <w:rFonts w:ascii="Times New Roman" w:eastAsia="Times New Roman" w:hAnsi="Times New Roman" w:cs="Times New Roman"/>
          <w:color w:val="000000"/>
          <w:sz w:val="24"/>
          <w:szCs w:val="24"/>
          <w:lang w:eastAsia="uk-UA" w:bidi="uk-UA"/>
        </w:rPr>
      </w:pPr>
    </w:p>
    <w:p w:rsidR="00DC24A2" w:rsidRDefault="00333430" w:rsidP="00992150">
      <w:pPr>
        <w:widowControl w:val="0"/>
        <w:spacing w:after="0" w:line="0" w:lineRule="atLeast"/>
        <w:ind w:right="200" w:firstLine="708"/>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Крім того, у звітному періоді </w:t>
      </w:r>
      <w:r w:rsidR="00300205">
        <w:rPr>
          <w:rFonts w:ascii="Times New Roman" w:eastAsia="Times New Roman" w:hAnsi="Times New Roman" w:cs="Times New Roman"/>
          <w:color w:val="000000"/>
          <w:sz w:val="24"/>
          <w:szCs w:val="24"/>
          <w:lang w:eastAsia="uk-UA" w:bidi="uk-UA"/>
        </w:rPr>
        <w:t xml:space="preserve">на розгляді в суді перебувало 29 заяв про перегляд рішення за </w:t>
      </w:r>
      <w:proofErr w:type="spellStart"/>
      <w:r w:rsidR="00300205">
        <w:rPr>
          <w:rFonts w:ascii="Times New Roman" w:eastAsia="Times New Roman" w:hAnsi="Times New Roman" w:cs="Times New Roman"/>
          <w:color w:val="000000"/>
          <w:sz w:val="24"/>
          <w:szCs w:val="24"/>
          <w:lang w:eastAsia="uk-UA" w:bidi="uk-UA"/>
        </w:rPr>
        <w:t>нововиявленими</w:t>
      </w:r>
      <w:proofErr w:type="spellEnd"/>
      <w:r w:rsidR="00300205">
        <w:rPr>
          <w:rFonts w:ascii="Times New Roman" w:eastAsia="Times New Roman" w:hAnsi="Times New Roman" w:cs="Times New Roman"/>
          <w:color w:val="000000"/>
          <w:sz w:val="24"/>
          <w:szCs w:val="24"/>
          <w:lang w:eastAsia="uk-UA" w:bidi="uk-UA"/>
        </w:rPr>
        <w:t xml:space="preserve"> обставинами</w:t>
      </w:r>
      <w:r w:rsidR="00DA34CF">
        <w:rPr>
          <w:rFonts w:ascii="Times New Roman" w:eastAsia="Times New Roman" w:hAnsi="Times New Roman" w:cs="Times New Roman"/>
          <w:color w:val="000000"/>
          <w:sz w:val="24"/>
          <w:szCs w:val="24"/>
          <w:lang w:eastAsia="uk-UA" w:bidi="uk-UA"/>
        </w:rPr>
        <w:t>, що на 10 % більше порівняно із 2016 роком</w:t>
      </w:r>
      <w:r w:rsidR="00115C80">
        <w:rPr>
          <w:rFonts w:ascii="Times New Roman" w:eastAsia="Times New Roman" w:hAnsi="Times New Roman" w:cs="Times New Roman"/>
          <w:color w:val="000000"/>
          <w:sz w:val="24"/>
          <w:szCs w:val="24"/>
          <w:lang w:eastAsia="uk-UA" w:bidi="uk-UA"/>
        </w:rPr>
        <w:t xml:space="preserve"> (26)</w:t>
      </w:r>
      <w:r w:rsidR="00DA34CF">
        <w:rPr>
          <w:rFonts w:ascii="Times New Roman" w:eastAsia="Times New Roman" w:hAnsi="Times New Roman" w:cs="Times New Roman"/>
          <w:color w:val="000000"/>
          <w:sz w:val="24"/>
          <w:szCs w:val="24"/>
          <w:lang w:eastAsia="uk-UA" w:bidi="uk-UA"/>
        </w:rPr>
        <w:t>. Зокрема</w:t>
      </w:r>
      <w:r w:rsidR="00300205">
        <w:rPr>
          <w:rFonts w:ascii="Times New Roman" w:eastAsia="Times New Roman" w:hAnsi="Times New Roman" w:cs="Times New Roman"/>
          <w:color w:val="000000"/>
          <w:sz w:val="24"/>
          <w:szCs w:val="24"/>
          <w:lang w:eastAsia="uk-UA" w:bidi="uk-UA"/>
        </w:rPr>
        <w:t xml:space="preserve"> у 2017 році</w:t>
      </w:r>
      <w:r w:rsidR="00DA34CF">
        <w:rPr>
          <w:rFonts w:ascii="Times New Roman" w:eastAsia="Times New Roman" w:hAnsi="Times New Roman" w:cs="Times New Roman"/>
          <w:color w:val="000000"/>
          <w:sz w:val="24"/>
          <w:szCs w:val="24"/>
          <w:lang w:eastAsia="uk-UA" w:bidi="uk-UA"/>
        </w:rPr>
        <w:t xml:space="preserve"> надійшло 27 таких заяв. Розглянуто судом 19</w:t>
      </w:r>
      <w:r w:rsidR="00300205">
        <w:rPr>
          <w:rFonts w:ascii="Times New Roman" w:eastAsia="Times New Roman" w:hAnsi="Times New Roman" w:cs="Times New Roman"/>
          <w:color w:val="000000"/>
          <w:sz w:val="24"/>
          <w:szCs w:val="24"/>
          <w:lang w:eastAsia="uk-UA" w:bidi="uk-UA"/>
        </w:rPr>
        <w:t xml:space="preserve"> заяв, що</w:t>
      </w:r>
      <w:r>
        <w:rPr>
          <w:rFonts w:ascii="Times New Roman" w:eastAsia="Times New Roman" w:hAnsi="Times New Roman" w:cs="Times New Roman"/>
          <w:color w:val="000000"/>
          <w:sz w:val="24"/>
          <w:szCs w:val="24"/>
          <w:lang w:eastAsia="uk-UA" w:bidi="uk-UA"/>
        </w:rPr>
        <w:t xml:space="preserve"> становлять</w:t>
      </w:r>
      <w:r w:rsidR="00300205">
        <w:rPr>
          <w:rFonts w:ascii="Times New Roman" w:eastAsia="Times New Roman" w:hAnsi="Times New Roman" w:cs="Times New Roman"/>
          <w:color w:val="000000"/>
          <w:sz w:val="24"/>
          <w:szCs w:val="24"/>
          <w:lang w:eastAsia="uk-UA" w:bidi="uk-UA"/>
        </w:rPr>
        <w:t xml:space="preserve"> 66 %. На кінець звітного періоду не розг</w:t>
      </w:r>
      <w:r>
        <w:rPr>
          <w:rFonts w:ascii="Times New Roman" w:eastAsia="Times New Roman" w:hAnsi="Times New Roman" w:cs="Times New Roman"/>
          <w:color w:val="000000"/>
          <w:sz w:val="24"/>
          <w:szCs w:val="24"/>
          <w:lang w:eastAsia="uk-UA" w:bidi="uk-UA"/>
        </w:rPr>
        <w:t>лянуто 10 таких заяв, що становля</w:t>
      </w:r>
      <w:r w:rsidR="00300205">
        <w:rPr>
          <w:rFonts w:ascii="Times New Roman" w:eastAsia="Times New Roman" w:hAnsi="Times New Roman" w:cs="Times New Roman"/>
          <w:color w:val="000000"/>
          <w:sz w:val="24"/>
          <w:szCs w:val="24"/>
          <w:lang w:eastAsia="uk-UA" w:bidi="uk-UA"/>
        </w:rPr>
        <w:t xml:space="preserve">ть 34 %. </w:t>
      </w:r>
      <w:r w:rsidR="00992150" w:rsidRPr="00207F89">
        <w:rPr>
          <w:rFonts w:ascii="Times New Roman" w:eastAsia="Times New Roman" w:hAnsi="Times New Roman" w:cs="Times New Roman"/>
          <w:color w:val="000000"/>
          <w:sz w:val="24"/>
          <w:szCs w:val="24"/>
          <w:lang w:eastAsia="uk-UA" w:bidi="uk-UA"/>
        </w:rPr>
        <w:t xml:space="preserve">Підставами для перегляду судового рішення за </w:t>
      </w:r>
      <w:proofErr w:type="spellStart"/>
      <w:r w:rsidR="00992150" w:rsidRPr="00207F89">
        <w:rPr>
          <w:rFonts w:ascii="Times New Roman" w:eastAsia="Times New Roman" w:hAnsi="Times New Roman" w:cs="Times New Roman"/>
          <w:color w:val="000000"/>
          <w:sz w:val="24"/>
          <w:szCs w:val="24"/>
          <w:lang w:eastAsia="uk-UA" w:bidi="uk-UA"/>
        </w:rPr>
        <w:t>нововиявленими</w:t>
      </w:r>
      <w:proofErr w:type="spellEnd"/>
      <w:r w:rsidR="00992150" w:rsidRPr="00207F89">
        <w:rPr>
          <w:rFonts w:ascii="Times New Roman" w:eastAsia="Times New Roman" w:hAnsi="Times New Roman" w:cs="Times New Roman"/>
          <w:color w:val="000000"/>
          <w:sz w:val="24"/>
          <w:szCs w:val="24"/>
          <w:lang w:eastAsia="uk-UA" w:bidi="uk-UA"/>
        </w:rPr>
        <w:t xml:space="preserve"> обставинами по усіх заявах були істотні для справи обставини, що не були і не могли бути відомі особі, яка звертається із заявою на час розгляду справи.</w:t>
      </w:r>
      <w:r w:rsidR="00992150">
        <w:rPr>
          <w:rFonts w:ascii="Times New Roman" w:eastAsia="Times New Roman" w:hAnsi="Times New Roman" w:cs="Times New Roman"/>
          <w:color w:val="000000"/>
          <w:sz w:val="24"/>
          <w:szCs w:val="24"/>
          <w:lang w:eastAsia="uk-UA" w:bidi="uk-UA"/>
        </w:rPr>
        <w:t xml:space="preserve"> За наслідками перегляду рішень за </w:t>
      </w:r>
      <w:proofErr w:type="spellStart"/>
      <w:r w:rsidR="00992150">
        <w:rPr>
          <w:rFonts w:ascii="Times New Roman" w:eastAsia="Times New Roman" w:hAnsi="Times New Roman" w:cs="Times New Roman"/>
          <w:color w:val="000000"/>
          <w:sz w:val="24"/>
          <w:szCs w:val="24"/>
          <w:lang w:eastAsia="uk-UA" w:bidi="uk-UA"/>
        </w:rPr>
        <w:t>нововиявленими</w:t>
      </w:r>
      <w:proofErr w:type="spellEnd"/>
      <w:r w:rsidR="00992150">
        <w:rPr>
          <w:rFonts w:ascii="Times New Roman" w:eastAsia="Times New Roman" w:hAnsi="Times New Roman" w:cs="Times New Roman"/>
          <w:color w:val="000000"/>
          <w:sz w:val="24"/>
          <w:szCs w:val="24"/>
          <w:lang w:eastAsia="uk-UA" w:bidi="uk-UA"/>
        </w:rPr>
        <w:t xml:space="preserve"> обставинами скасовано 3 постанови.</w:t>
      </w:r>
      <w:r w:rsidR="00300205">
        <w:rPr>
          <w:rFonts w:ascii="Times New Roman" w:eastAsia="Times New Roman" w:hAnsi="Times New Roman" w:cs="Times New Roman"/>
          <w:color w:val="000000"/>
          <w:sz w:val="24"/>
          <w:szCs w:val="24"/>
          <w:lang w:eastAsia="uk-UA" w:bidi="uk-UA"/>
        </w:rPr>
        <w:t xml:space="preserve"> </w:t>
      </w:r>
    </w:p>
    <w:p w:rsidR="00896CD6" w:rsidRDefault="00992150" w:rsidP="00115C80">
      <w:pPr>
        <w:widowControl w:val="0"/>
        <w:spacing w:after="0" w:line="0" w:lineRule="atLeast"/>
        <w:ind w:firstLine="708"/>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У 2017 році до су</w:t>
      </w:r>
      <w:r w:rsidR="00333430">
        <w:rPr>
          <w:rFonts w:ascii="Times New Roman" w:eastAsia="Times New Roman" w:hAnsi="Times New Roman" w:cs="Times New Roman"/>
          <w:color w:val="000000"/>
          <w:sz w:val="24"/>
          <w:szCs w:val="24"/>
          <w:lang w:eastAsia="uk-UA" w:bidi="uk-UA"/>
        </w:rPr>
        <w:t xml:space="preserve">ду надійшло 3 судові доручення </w:t>
      </w:r>
      <w:r>
        <w:rPr>
          <w:rFonts w:ascii="Times New Roman" w:eastAsia="Times New Roman" w:hAnsi="Times New Roman" w:cs="Times New Roman"/>
          <w:color w:val="000000"/>
          <w:sz w:val="24"/>
          <w:szCs w:val="24"/>
          <w:lang w:eastAsia="uk-UA" w:bidi="uk-UA"/>
        </w:rPr>
        <w:t>з інших судів України</w:t>
      </w:r>
      <w:r w:rsidR="00115C80">
        <w:rPr>
          <w:rFonts w:ascii="Times New Roman" w:eastAsia="Times New Roman" w:hAnsi="Times New Roman" w:cs="Times New Roman"/>
          <w:color w:val="000000"/>
          <w:sz w:val="24"/>
          <w:szCs w:val="24"/>
          <w:lang w:eastAsia="uk-UA" w:bidi="uk-UA"/>
        </w:rPr>
        <w:t>, що на 1 судове доручення менше</w:t>
      </w:r>
      <w:r w:rsidR="00B33EE4">
        <w:rPr>
          <w:rFonts w:ascii="Times New Roman" w:eastAsia="Times New Roman" w:hAnsi="Times New Roman" w:cs="Times New Roman"/>
          <w:color w:val="000000"/>
          <w:sz w:val="24"/>
          <w:szCs w:val="24"/>
          <w:lang w:eastAsia="uk-UA" w:bidi="uk-UA"/>
        </w:rPr>
        <w:t>, або 25 % менше,</w:t>
      </w:r>
      <w:r w:rsidR="00115C80">
        <w:rPr>
          <w:rFonts w:ascii="Times New Roman" w:eastAsia="Times New Roman" w:hAnsi="Times New Roman" w:cs="Times New Roman"/>
          <w:color w:val="000000"/>
          <w:sz w:val="24"/>
          <w:szCs w:val="24"/>
          <w:lang w:eastAsia="uk-UA" w:bidi="uk-UA"/>
        </w:rPr>
        <w:t xml:space="preserve"> у </w:t>
      </w:r>
      <w:r w:rsidR="00333430">
        <w:rPr>
          <w:rFonts w:ascii="Times New Roman" w:eastAsia="Times New Roman" w:hAnsi="Times New Roman" w:cs="Times New Roman"/>
          <w:color w:val="000000"/>
          <w:sz w:val="24"/>
          <w:szCs w:val="24"/>
          <w:lang w:eastAsia="uk-UA" w:bidi="uk-UA"/>
        </w:rPr>
        <w:t>порівнянні зі</w:t>
      </w:r>
      <w:r w:rsidR="00115C80">
        <w:rPr>
          <w:rFonts w:ascii="Times New Roman" w:eastAsia="Times New Roman" w:hAnsi="Times New Roman" w:cs="Times New Roman"/>
          <w:color w:val="000000"/>
          <w:sz w:val="24"/>
          <w:szCs w:val="24"/>
          <w:lang w:eastAsia="uk-UA" w:bidi="uk-UA"/>
        </w:rPr>
        <w:t xml:space="preserve"> 2016 роком</w:t>
      </w:r>
      <w:r>
        <w:rPr>
          <w:rFonts w:ascii="Times New Roman" w:eastAsia="Times New Roman" w:hAnsi="Times New Roman" w:cs="Times New Roman"/>
          <w:color w:val="000000"/>
          <w:sz w:val="24"/>
          <w:szCs w:val="24"/>
          <w:lang w:eastAsia="uk-UA" w:bidi="uk-UA"/>
        </w:rPr>
        <w:t>. Із них 2 судових до</w:t>
      </w:r>
      <w:r w:rsidR="00B33EE4">
        <w:rPr>
          <w:rFonts w:ascii="Times New Roman" w:eastAsia="Times New Roman" w:hAnsi="Times New Roman" w:cs="Times New Roman"/>
          <w:color w:val="000000"/>
          <w:sz w:val="24"/>
          <w:szCs w:val="24"/>
          <w:lang w:eastAsia="uk-UA" w:bidi="uk-UA"/>
        </w:rPr>
        <w:t>ручення виконано та 1 доручення</w:t>
      </w:r>
      <w:r w:rsidR="00A71883">
        <w:rPr>
          <w:rFonts w:ascii="Times New Roman" w:eastAsia="Times New Roman" w:hAnsi="Times New Roman" w:cs="Times New Roman"/>
          <w:color w:val="000000"/>
          <w:sz w:val="24"/>
          <w:szCs w:val="24"/>
          <w:lang w:eastAsia="uk-UA" w:bidi="uk-UA"/>
        </w:rPr>
        <w:t xml:space="preserve"> не виконано</w:t>
      </w:r>
      <w:r w:rsidR="002859BE">
        <w:rPr>
          <w:rFonts w:ascii="Times New Roman" w:eastAsia="Times New Roman" w:hAnsi="Times New Roman" w:cs="Times New Roman"/>
          <w:color w:val="000000"/>
          <w:sz w:val="24"/>
          <w:szCs w:val="24"/>
          <w:lang w:eastAsia="uk-UA" w:bidi="uk-UA"/>
        </w:rPr>
        <w:t xml:space="preserve"> через неможливі</w:t>
      </w:r>
      <w:r w:rsidR="00A71883">
        <w:rPr>
          <w:rFonts w:ascii="Times New Roman" w:eastAsia="Times New Roman" w:hAnsi="Times New Roman" w:cs="Times New Roman"/>
          <w:color w:val="000000"/>
          <w:sz w:val="24"/>
          <w:szCs w:val="24"/>
          <w:lang w:eastAsia="uk-UA" w:bidi="uk-UA"/>
        </w:rPr>
        <w:t>сть виконання (неявка особи, яку</w:t>
      </w:r>
      <w:r w:rsidR="002859BE">
        <w:rPr>
          <w:rFonts w:ascii="Times New Roman" w:eastAsia="Times New Roman" w:hAnsi="Times New Roman" w:cs="Times New Roman"/>
          <w:color w:val="000000"/>
          <w:sz w:val="24"/>
          <w:szCs w:val="24"/>
          <w:lang w:eastAsia="uk-UA" w:bidi="uk-UA"/>
        </w:rPr>
        <w:t xml:space="preserve"> за дорученням потрібно було допитати)</w:t>
      </w:r>
      <w:r>
        <w:rPr>
          <w:rFonts w:ascii="Times New Roman" w:eastAsia="Times New Roman" w:hAnsi="Times New Roman" w:cs="Times New Roman"/>
          <w:color w:val="000000"/>
          <w:sz w:val="24"/>
          <w:szCs w:val="24"/>
          <w:lang w:eastAsia="uk-UA" w:bidi="uk-UA"/>
        </w:rPr>
        <w:t>.</w:t>
      </w:r>
    </w:p>
    <w:p w:rsidR="00207F89" w:rsidRPr="00207F89" w:rsidRDefault="00207F89" w:rsidP="00207F89">
      <w:pPr>
        <w:widowControl w:val="0"/>
        <w:spacing w:after="0" w:line="0" w:lineRule="atLeast"/>
        <w:ind w:left="676" w:firstLine="740"/>
        <w:jc w:val="both"/>
        <w:rPr>
          <w:rFonts w:ascii="Times New Roman" w:eastAsia="Times New Roman" w:hAnsi="Times New Roman" w:cs="Times New Roman"/>
          <w:sz w:val="24"/>
          <w:szCs w:val="24"/>
          <w:lang w:eastAsia="uk-UA"/>
        </w:rPr>
      </w:pPr>
      <w:r w:rsidRPr="00207F89">
        <w:rPr>
          <w:rFonts w:ascii="Times New Roman" w:eastAsia="Times New Roman" w:hAnsi="Times New Roman" w:cs="Times New Roman"/>
          <w:sz w:val="24"/>
          <w:szCs w:val="24"/>
          <w:lang w:eastAsia="uk-UA"/>
        </w:rPr>
        <w:t>Крім того, у звітному періоді справи розглянуто:</w:t>
      </w:r>
    </w:p>
    <w:p w:rsidR="00207F89" w:rsidRPr="00207F89" w:rsidRDefault="00207F89" w:rsidP="00207F89">
      <w:pPr>
        <w:widowControl w:val="0"/>
        <w:numPr>
          <w:ilvl w:val="0"/>
          <w:numId w:val="3"/>
        </w:numPr>
        <w:spacing w:after="0" w:line="0" w:lineRule="atLeast"/>
        <w:jc w:val="both"/>
        <w:rPr>
          <w:rFonts w:ascii="Times New Roman" w:eastAsia="Times New Roman" w:hAnsi="Times New Roman" w:cs="Times New Roman"/>
          <w:sz w:val="24"/>
          <w:szCs w:val="24"/>
          <w:lang w:eastAsia="uk-UA"/>
        </w:rPr>
      </w:pPr>
      <w:r w:rsidRPr="00207F89">
        <w:rPr>
          <w:rFonts w:ascii="Times New Roman" w:eastAsia="Times New Roman" w:hAnsi="Times New Roman" w:cs="Times New Roman"/>
          <w:sz w:val="24"/>
          <w:szCs w:val="24"/>
          <w:lang w:eastAsia="uk-UA"/>
        </w:rPr>
        <w:t xml:space="preserve"> під ч</w:t>
      </w:r>
      <w:r w:rsidR="00115C80">
        <w:rPr>
          <w:rFonts w:ascii="Times New Roman" w:eastAsia="Times New Roman" w:hAnsi="Times New Roman" w:cs="Times New Roman"/>
          <w:sz w:val="24"/>
          <w:szCs w:val="24"/>
          <w:lang w:eastAsia="uk-UA"/>
        </w:rPr>
        <w:t>ас підготовчого провадження - 89 справ, що на 50 % менше ніж у 2016 року (177</w:t>
      </w:r>
      <w:r w:rsidRPr="00207F89">
        <w:rPr>
          <w:rFonts w:ascii="Times New Roman" w:eastAsia="Times New Roman" w:hAnsi="Times New Roman" w:cs="Times New Roman"/>
          <w:sz w:val="24"/>
          <w:szCs w:val="24"/>
          <w:lang w:eastAsia="uk-UA"/>
        </w:rPr>
        <w:t xml:space="preserve"> справ);</w:t>
      </w:r>
    </w:p>
    <w:p w:rsidR="00207F89" w:rsidRPr="00207F89" w:rsidRDefault="00207F89" w:rsidP="00207F89">
      <w:pPr>
        <w:widowControl w:val="0"/>
        <w:numPr>
          <w:ilvl w:val="0"/>
          <w:numId w:val="3"/>
        </w:numPr>
        <w:spacing w:after="0" w:line="0" w:lineRule="atLeast"/>
        <w:jc w:val="both"/>
        <w:rPr>
          <w:rFonts w:ascii="Times New Roman" w:eastAsia="Times New Roman" w:hAnsi="Times New Roman" w:cs="Times New Roman"/>
          <w:sz w:val="24"/>
          <w:szCs w:val="24"/>
          <w:lang w:eastAsia="uk-UA"/>
        </w:rPr>
      </w:pPr>
      <w:r w:rsidRPr="00207F89">
        <w:rPr>
          <w:rFonts w:ascii="Times New Roman" w:eastAsia="Times New Roman" w:hAnsi="Times New Roman" w:cs="Times New Roman"/>
          <w:sz w:val="24"/>
          <w:szCs w:val="24"/>
          <w:lang w:eastAsia="uk-UA"/>
        </w:rPr>
        <w:t xml:space="preserve"> у порядку письмового провадження  -  4</w:t>
      </w:r>
      <w:r w:rsidR="00115C80">
        <w:rPr>
          <w:rFonts w:ascii="Times New Roman" w:eastAsia="Times New Roman" w:hAnsi="Times New Roman" w:cs="Times New Roman"/>
          <w:sz w:val="24"/>
          <w:szCs w:val="24"/>
          <w:lang w:eastAsia="uk-UA"/>
        </w:rPr>
        <w:t xml:space="preserve">9 справи, що на 11 % менше ніж у </w:t>
      </w:r>
      <w:r w:rsidRPr="00207F89">
        <w:rPr>
          <w:rFonts w:ascii="Times New Roman" w:eastAsia="Times New Roman" w:hAnsi="Times New Roman" w:cs="Times New Roman"/>
          <w:sz w:val="24"/>
          <w:szCs w:val="24"/>
          <w:lang w:eastAsia="uk-UA"/>
        </w:rPr>
        <w:t xml:space="preserve"> 2016 ро</w:t>
      </w:r>
      <w:r w:rsidR="00115C80">
        <w:rPr>
          <w:rFonts w:ascii="Times New Roman" w:eastAsia="Times New Roman" w:hAnsi="Times New Roman" w:cs="Times New Roman"/>
          <w:sz w:val="24"/>
          <w:szCs w:val="24"/>
          <w:lang w:eastAsia="uk-UA"/>
        </w:rPr>
        <w:t>ку (55</w:t>
      </w:r>
      <w:r w:rsidRPr="00207F89">
        <w:rPr>
          <w:rFonts w:ascii="Times New Roman" w:eastAsia="Times New Roman" w:hAnsi="Times New Roman" w:cs="Times New Roman"/>
          <w:sz w:val="24"/>
          <w:szCs w:val="24"/>
          <w:lang w:eastAsia="uk-UA"/>
        </w:rPr>
        <w:t xml:space="preserve"> справ);</w:t>
      </w:r>
    </w:p>
    <w:p w:rsidR="00207F89" w:rsidRPr="00207F89" w:rsidRDefault="00207F89" w:rsidP="00207F89">
      <w:pPr>
        <w:widowControl w:val="0"/>
        <w:numPr>
          <w:ilvl w:val="0"/>
          <w:numId w:val="3"/>
        </w:numPr>
        <w:spacing w:after="0" w:line="0" w:lineRule="atLeast"/>
        <w:jc w:val="both"/>
        <w:rPr>
          <w:rFonts w:ascii="Times New Roman" w:eastAsia="Times New Roman" w:hAnsi="Times New Roman" w:cs="Times New Roman"/>
          <w:sz w:val="24"/>
          <w:szCs w:val="24"/>
          <w:lang w:eastAsia="uk-UA"/>
        </w:rPr>
      </w:pPr>
      <w:r w:rsidRPr="00207F89">
        <w:rPr>
          <w:rFonts w:ascii="Times New Roman" w:eastAsia="Times New Roman" w:hAnsi="Times New Roman" w:cs="Times New Roman"/>
          <w:sz w:val="24"/>
          <w:szCs w:val="24"/>
          <w:lang w:eastAsia="uk-UA"/>
        </w:rPr>
        <w:t xml:space="preserve"> у поряд</w:t>
      </w:r>
      <w:r w:rsidR="00115C80">
        <w:rPr>
          <w:rFonts w:ascii="Times New Roman" w:eastAsia="Times New Roman" w:hAnsi="Times New Roman" w:cs="Times New Roman"/>
          <w:sz w:val="24"/>
          <w:szCs w:val="24"/>
          <w:lang w:eastAsia="uk-UA"/>
        </w:rPr>
        <w:t>ку скороченого провадження - 462 справ, що на 26</w:t>
      </w:r>
      <w:r w:rsidRPr="00207F89">
        <w:rPr>
          <w:rFonts w:ascii="Times New Roman" w:eastAsia="Times New Roman" w:hAnsi="Times New Roman" w:cs="Times New Roman"/>
          <w:sz w:val="24"/>
          <w:szCs w:val="24"/>
          <w:lang w:eastAsia="uk-UA"/>
        </w:rPr>
        <w:t xml:space="preserve"> % більше аналогічног</w:t>
      </w:r>
      <w:r w:rsidR="00115C80">
        <w:rPr>
          <w:rFonts w:ascii="Times New Roman" w:eastAsia="Times New Roman" w:hAnsi="Times New Roman" w:cs="Times New Roman"/>
          <w:sz w:val="24"/>
          <w:szCs w:val="24"/>
          <w:lang w:eastAsia="uk-UA"/>
        </w:rPr>
        <w:t>о звітного періоду 2016 року (120 справ</w:t>
      </w:r>
      <w:r w:rsidRPr="00207F89">
        <w:rPr>
          <w:rFonts w:ascii="Times New Roman" w:eastAsia="Times New Roman" w:hAnsi="Times New Roman" w:cs="Times New Roman"/>
          <w:sz w:val="24"/>
          <w:szCs w:val="24"/>
          <w:lang w:eastAsia="uk-UA"/>
        </w:rPr>
        <w:t>);</w:t>
      </w:r>
    </w:p>
    <w:p w:rsidR="00207F89" w:rsidRPr="00207F89" w:rsidRDefault="00207F89" w:rsidP="00207F89">
      <w:pPr>
        <w:widowControl w:val="0"/>
        <w:numPr>
          <w:ilvl w:val="0"/>
          <w:numId w:val="3"/>
        </w:numPr>
        <w:spacing w:after="0" w:line="0" w:lineRule="atLeast"/>
        <w:jc w:val="both"/>
        <w:rPr>
          <w:rFonts w:ascii="Times New Roman" w:eastAsia="Times New Roman" w:hAnsi="Times New Roman" w:cs="Times New Roman"/>
          <w:sz w:val="24"/>
          <w:szCs w:val="24"/>
          <w:lang w:eastAsia="uk-UA"/>
        </w:rPr>
      </w:pPr>
      <w:r w:rsidRPr="00207F89">
        <w:rPr>
          <w:rFonts w:ascii="Times New Roman" w:eastAsia="Times New Roman" w:hAnsi="Times New Roman" w:cs="Times New Roman"/>
          <w:sz w:val="24"/>
          <w:szCs w:val="24"/>
          <w:lang w:eastAsia="uk-UA"/>
        </w:rPr>
        <w:t xml:space="preserve"> із фіксуванням судового засі</w:t>
      </w:r>
      <w:r w:rsidR="00115C80">
        <w:rPr>
          <w:rFonts w:ascii="Times New Roman" w:eastAsia="Times New Roman" w:hAnsi="Times New Roman" w:cs="Times New Roman"/>
          <w:sz w:val="24"/>
          <w:szCs w:val="24"/>
          <w:lang w:eastAsia="uk-UA"/>
        </w:rPr>
        <w:t>дання технічними засобами - 2578, що на 9 % менше порівняно із 2016 роком (2843 справи</w:t>
      </w:r>
      <w:r w:rsidRPr="00207F89">
        <w:rPr>
          <w:rFonts w:ascii="Times New Roman" w:eastAsia="Times New Roman" w:hAnsi="Times New Roman" w:cs="Times New Roman"/>
          <w:sz w:val="24"/>
          <w:szCs w:val="24"/>
          <w:lang w:eastAsia="uk-UA"/>
        </w:rPr>
        <w:t>);</w:t>
      </w:r>
    </w:p>
    <w:p w:rsidR="00207F89" w:rsidRPr="00333430" w:rsidRDefault="00207F89" w:rsidP="00896CD6">
      <w:pPr>
        <w:widowControl w:val="0"/>
        <w:numPr>
          <w:ilvl w:val="0"/>
          <w:numId w:val="3"/>
        </w:numPr>
        <w:spacing w:after="0" w:line="0" w:lineRule="atLeast"/>
        <w:ind w:right="198"/>
        <w:jc w:val="both"/>
        <w:rPr>
          <w:rFonts w:ascii="Times New Roman" w:eastAsia="Times New Roman" w:hAnsi="Times New Roman" w:cs="Times New Roman"/>
          <w:color w:val="000000"/>
          <w:sz w:val="24"/>
          <w:szCs w:val="24"/>
          <w:lang w:eastAsia="uk-UA" w:bidi="uk-UA"/>
        </w:rPr>
      </w:pPr>
      <w:r w:rsidRPr="00115C80">
        <w:rPr>
          <w:rFonts w:ascii="Times New Roman" w:eastAsia="Times New Roman" w:hAnsi="Times New Roman" w:cs="Times New Roman"/>
          <w:sz w:val="24"/>
          <w:szCs w:val="24"/>
          <w:lang w:eastAsia="uk-UA"/>
        </w:rPr>
        <w:t xml:space="preserve"> із використанням с</w:t>
      </w:r>
      <w:r w:rsidR="00115C80" w:rsidRPr="00115C80">
        <w:rPr>
          <w:rFonts w:ascii="Times New Roman" w:eastAsia="Times New Roman" w:hAnsi="Times New Roman" w:cs="Times New Roman"/>
          <w:sz w:val="24"/>
          <w:szCs w:val="24"/>
          <w:lang w:eastAsia="uk-UA"/>
        </w:rPr>
        <w:t xml:space="preserve">истеми </w:t>
      </w:r>
      <w:proofErr w:type="spellStart"/>
      <w:r w:rsidR="00115C80" w:rsidRPr="00115C80">
        <w:rPr>
          <w:rFonts w:ascii="Times New Roman" w:eastAsia="Times New Roman" w:hAnsi="Times New Roman" w:cs="Times New Roman"/>
          <w:sz w:val="24"/>
          <w:szCs w:val="24"/>
          <w:lang w:eastAsia="uk-UA"/>
        </w:rPr>
        <w:t>відеоконференцзв’язку</w:t>
      </w:r>
      <w:proofErr w:type="spellEnd"/>
      <w:r w:rsidR="00115C80" w:rsidRPr="00115C80">
        <w:rPr>
          <w:rFonts w:ascii="Times New Roman" w:eastAsia="Times New Roman" w:hAnsi="Times New Roman" w:cs="Times New Roman"/>
          <w:sz w:val="24"/>
          <w:szCs w:val="24"/>
          <w:lang w:eastAsia="uk-UA"/>
        </w:rPr>
        <w:t xml:space="preserve"> - 24</w:t>
      </w:r>
      <w:r w:rsidRPr="00115C80">
        <w:rPr>
          <w:rFonts w:ascii="Times New Roman" w:eastAsia="Times New Roman" w:hAnsi="Times New Roman" w:cs="Times New Roman"/>
          <w:sz w:val="24"/>
          <w:szCs w:val="24"/>
          <w:lang w:eastAsia="uk-UA"/>
        </w:rPr>
        <w:t xml:space="preserve"> справ</w:t>
      </w:r>
      <w:r w:rsidR="00115C80">
        <w:rPr>
          <w:rFonts w:ascii="Times New Roman" w:eastAsia="Times New Roman" w:hAnsi="Times New Roman" w:cs="Times New Roman"/>
          <w:sz w:val="24"/>
          <w:szCs w:val="24"/>
          <w:lang w:eastAsia="uk-UA"/>
        </w:rPr>
        <w:t>и (не можливо порівняти із аналогічним періодом 2016 року</w:t>
      </w:r>
      <w:r w:rsidR="00896CD6">
        <w:rPr>
          <w:rFonts w:ascii="Times New Roman" w:eastAsia="Times New Roman" w:hAnsi="Times New Roman" w:cs="Times New Roman"/>
          <w:sz w:val="24"/>
          <w:szCs w:val="24"/>
          <w:lang w:eastAsia="uk-UA"/>
        </w:rPr>
        <w:t>, оскільки такий облік не здійснювався).</w:t>
      </w:r>
    </w:p>
    <w:p w:rsidR="00896CD6" w:rsidRDefault="00896CD6" w:rsidP="00207F89">
      <w:pPr>
        <w:widowControl w:val="0"/>
        <w:spacing w:after="0" w:line="0" w:lineRule="atLeast"/>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звітному періоді 2017 року ухвалено 6</w:t>
      </w:r>
      <w:r w:rsidR="00207F89" w:rsidRPr="00207F89">
        <w:rPr>
          <w:rFonts w:ascii="Times New Roman" w:eastAsia="Times New Roman" w:hAnsi="Times New Roman" w:cs="Times New Roman"/>
          <w:sz w:val="24"/>
          <w:szCs w:val="24"/>
          <w:lang w:eastAsia="uk-UA"/>
        </w:rPr>
        <w:t xml:space="preserve"> додаткових судових р</w:t>
      </w:r>
      <w:r>
        <w:rPr>
          <w:rFonts w:ascii="Times New Roman" w:eastAsia="Times New Roman" w:hAnsi="Times New Roman" w:cs="Times New Roman"/>
          <w:sz w:val="24"/>
          <w:szCs w:val="24"/>
          <w:lang w:eastAsia="uk-UA"/>
        </w:rPr>
        <w:t xml:space="preserve">ішень, </w:t>
      </w:r>
      <w:r w:rsidR="00B33EE4">
        <w:rPr>
          <w:rFonts w:ascii="Times New Roman" w:eastAsia="Times New Roman" w:hAnsi="Times New Roman" w:cs="Times New Roman"/>
          <w:sz w:val="24"/>
          <w:szCs w:val="24"/>
          <w:lang w:eastAsia="uk-UA"/>
        </w:rPr>
        <w:t xml:space="preserve">у 2016 році таких </w:t>
      </w:r>
      <w:r>
        <w:rPr>
          <w:rFonts w:ascii="Times New Roman" w:eastAsia="Times New Roman" w:hAnsi="Times New Roman" w:cs="Times New Roman"/>
          <w:sz w:val="24"/>
          <w:szCs w:val="24"/>
          <w:lang w:eastAsia="uk-UA"/>
        </w:rPr>
        <w:t xml:space="preserve"> рішень</w:t>
      </w:r>
      <w:r w:rsidR="00B33EE4">
        <w:rPr>
          <w:rFonts w:ascii="Times New Roman" w:eastAsia="Times New Roman" w:hAnsi="Times New Roman" w:cs="Times New Roman"/>
          <w:sz w:val="24"/>
          <w:szCs w:val="24"/>
          <w:lang w:eastAsia="uk-UA"/>
        </w:rPr>
        <w:t xml:space="preserve"> було 10</w:t>
      </w:r>
      <w:r w:rsidR="00207F89" w:rsidRPr="00207F89">
        <w:rPr>
          <w:rFonts w:ascii="Times New Roman" w:eastAsia="Times New Roman" w:hAnsi="Times New Roman" w:cs="Times New Roman"/>
          <w:sz w:val="24"/>
          <w:szCs w:val="24"/>
          <w:lang w:eastAsia="uk-UA"/>
        </w:rPr>
        <w:t>.</w:t>
      </w:r>
    </w:p>
    <w:p w:rsidR="00896CD6" w:rsidRPr="00207F89" w:rsidRDefault="00207F89" w:rsidP="00896CD6">
      <w:pPr>
        <w:widowControl w:val="0"/>
        <w:spacing w:after="0" w:line="0" w:lineRule="atLeast"/>
        <w:ind w:firstLine="680"/>
        <w:jc w:val="both"/>
        <w:rPr>
          <w:rFonts w:ascii="Times New Roman" w:eastAsia="Times New Roman" w:hAnsi="Times New Roman" w:cs="Times New Roman"/>
          <w:sz w:val="24"/>
          <w:szCs w:val="24"/>
          <w:lang w:eastAsia="uk-UA"/>
        </w:rPr>
      </w:pPr>
      <w:r w:rsidRPr="00207F89">
        <w:rPr>
          <w:rFonts w:ascii="Times New Roman" w:eastAsia="Times New Roman" w:hAnsi="Times New Roman" w:cs="Times New Roman"/>
          <w:sz w:val="24"/>
          <w:szCs w:val="24"/>
          <w:lang w:eastAsia="uk-UA"/>
        </w:rPr>
        <w:t xml:space="preserve"> </w:t>
      </w:r>
      <w:r w:rsidR="00D35DB2">
        <w:rPr>
          <w:rFonts w:ascii="Times New Roman" w:eastAsia="Times New Roman" w:hAnsi="Times New Roman" w:cs="Times New Roman"/>
          <w:sz w:val="24"/>
          <w:szCs w:val="24"/>
          <w:lang w:eastAsia="uk-UA"/>
        </w:rPr>
        <w:t>На виявлені під час розгляду справ порушення закону судом постановлено 3 окремі ухвали. Відтак, у звітному періоді з</w:t>
      </w:r>
      <w:r w:rsidR="00896CD6">
        <w:rPr>
          <w:rFonts w:ascii="Times New Roman" w:eastAsia="Times New Roman" w:hAnsi="Times New Roman" w:cs="Times New Roman"/>
          <w:sz w:val="24"/>
          <w:szCs w:val="24"/>
          <w:lang w:eastAsia="uk-UA"/>
        </w:rPr>
        <w:t>меншилась кіл</w:t>
      </w:r>
      <w:r w:rsidR="00333430">
        <w:rPr>
          <w:rFonts w:ascii="Times New Roman" w:eastAsia="Times New Roman" w:hAnsi="Times New Roman" w:cs="Times New Roman"/>
          <w:sz w:val="24"/>
          <w:szCs w:val="24"/>
          <w:lang w:eastAsia="uk-UA"/>
        </w:rPr>
        <w:t>ькість окремих ухвал, оскільки в</w:t>
      </w:r>
      <w:r w:rsidR="00896CD6">
        <w:rPr>
          <w:rFonts w:ascii="Times New Roman" w:eastAsia="Times New Roman" w:hAnsi="Times New Roman" w:cs="Times New Roman"/>
          <w:sz w:val="24"/>
          <w:szCs w:val="24"/>
          <w:lang w:eastAsia="uk-UA"/>
        </w:rPr>
        <w:t xml:space="preserve"> 2016 році</w:t>
      </w:r>
      <w:r w:rsidR="00D35DB2">
        <w:rPr>
          <w:rFonts w:ascii="Times New Roman" w:eastAsia="Times New Roman" w:hAnsi="Times New Roman" w:cs="Times New Roman"/>
          <w:sz w:val="24"/>
          <w:szCs w:val="24"/>
          <w:lang w:eastAsia="uk-UA"/>
        </w:rPr>
        <w:t xml:space="preserve"> було постановлено 8</w:t>
      </w:r>
      <w:r w:rsidR="00896CD6">
        <w:rPr>
          <w:rFonts w:ascii="Times New Roman" w:eastAsia="Times New Roman" w:hAnsi="Times New Roman" w:cs="Times New Roman"/>
          <w:sz w:val="24"/>
          <w:szCs w:val="24"/>
          <w:lang w:eastAsia="uk-UA"/>
        </w:rPr>
        <w:t xml:space="preserve"> </w:t>
      </w:r>
      <w:r w:rsidR="00D35DB2">
        <w:rPr>
          <w:rFonts w:ascii="Times New Roman" w:eastAsia="Times New Roman" w:hAnsi="Times New Roman" w:cs="Times New Roman"/>
          <w:sz w:val="24"/>
          <w:szCs w:val="24"/>
          <w:lang w:eastAsia="uk-UA"/>
        </w:rPr>
        <w:t>таких ухвал</w:t>
      </w:r>
      <w:r w:rsidR="00896CD6">
        <w:rPr>
          <w:rFonts w:ascii="Times New Roman" w:eastAsia="Times New Roman" w:hAnsi="Times New Roman" w:cs="Times New Roman"/>
          <w:sz w:val="24"/>
          <w:szCs w:val="24"/>
          <w:lang w:eastAsia="uk-UA"/>
        </w:rPr>
        <w:t>.</w:t>
      </w:r>
    </w:p>
    <w:p w:rsidR="008D436B" w:rsidRDefault="00207F89" w:rsidP="00333430">
      <w:pPr>
        <w:widowControl w:val="0"/>
        <w:spacing w:after="0" w:line="0" w:lineRule="atLeast"/>
        <w:ind w:firstLine="680"/>
        <w:jc w:val="both"/>
        <w:rPr>
          <w:rFonts w:ascii="Times New Roman" w:eastAsia="Times New Roman" w:hAnsi="Times New Roman" w:cs="Times New Roman"/>
          <w:sz w:val="24"/>
          <w:szCs w:val="24"/>
          <w:lang w:eastAsia="uk-UA"/>
        </w:rPr>
      </w:pPr>
      <w:r w:rsidRPr="00207F89">
        <w:rPr>
          <w:rFonts w:ascii="Times New Roman" w:eastAsia="Times New Roman" w:hAnsi="Times New Roman" w:cs="Times New Roman"/>
          <w:sz w:val="24"/>
          <w:szCs w:val="24"/>
          <w:lang w:eastAsia="uk-UA"/>
        </w:rPr>
        <w:t xml:space="preserve">Львівським окружним адміністративним судом </w:t>
      </w:r>
      <w:r w:rsidR="00896CD6">
        <w:rPr>
          <w:rFonts w:ascii="Times New Roman" w:eastAsia="Times New Roman" w:hAnsi="Times New Roman" w:cs="Times New Roman"/>
          <w:sz w:val="24"/>
          <w:szCs w:val="24"/>
          <w:lang w:eastAsia="uk-UA"/>
        </w:rPr>
        <w:t xml:space="preserve">у звітному періоді не розглядалися </w:t>
      </w:r>
      <w:r w:rsidRPr="00207F89">
        <w:rPr>
          <w:rFonts w:ascii="Times New Roman" w:eastAsia="Times New Roman" w:hAnsi="Times New Roman" w:cs="Times New Roman"/>
          <w:sz w:val="24"/>
          <w:szCs w:val="24"/>
          <w:lang w:eastAsia="uk-UA"/>
        </w:rPr>
        <w:t>справ</w:t>
      </w:r>
      <w:r w:rsidR="00D35DB2">
        <w:rPr>
          <w:rFonts w:ascii="Times New Roman" w:eastAsia="Times New Roman" w:hAnsi="Times New Roman" w:cs="Times New Roman"/>
          <w:sz w:val="24"/>
          <w:szCs w:val="24"/>
          <w:lang w:eastAsia="uk-UA"/>
        </w:rPr>
        <w:t>и</w:t>
      </w:r>
      <w:r w:rsidR="00896CD6">
        <w:rPr>
          <w:rFonts w:ascii="Times New Roman" w:eastAsia="Times New Roman" w:hAnsi="Times New Roman" w:cs="Times New Roman"/>
          <w:sz w:val="24"/>
          <w:szCs w:val="24"/>
          <w:lang w:eastAsia="uk-UA"/>
        </w:rPr>
        <w:t xml:space="preserve"> передбаченні статтею 185-</w:t>
      </w:r>
      <w:r w:rsidRPr="00207F89">
        <w:rPr>
          <w:rFonts w:ascii="Times New Roman" w:eastAsia="Times New Roman" w:hAnsi="Times New Roman" w:cs="Times New Roman"/>
          <w:sz w:val="24"/>
          <w:szCs w:val="24"/>
          <w:lang w:eastAsia="uk-UA"/>
        </w:rPr>
        <w:t>3 Кодексу України про адміністративні правопорушення</w:t>
      </w:r>
      <w:r w:rsidR="00896CD6">
        <w:rPr>
          <w:rFonts w:ascii="Times New Roman" w:eastAsia="Times New Roman" w:hAnsi="Times New Roman" w:cs="Times New Roman"/>
          <w:sz w:val="24"/>
          <w:szCs w:val="24"/>
          <w:lang w:eastAsia="uk-UA"/>
        </w:rPr>
        <w:t>, аналогічна ситуація була і в 2016 році.</w:t>
      </w:r>
    </w:p>
    <w:p w:rsidR="008D436B" w:rsidRPr="00207F89" w:rsidRDefault="008D436B" w:rsidP="008D436B">
      <w:pPr>
        <w:widowControl w:val="0"/>
        <w:shd w:val="clear" w:color="auto" w:fill="FFFFFF"/>
        <w:spacing w:after="0" w:line="0" w:lineRule="atLeast"/>
        <w:ind w:firstLine="86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Аналізуючи практику дотримання судом строків відкриття пр</w:t>
      </w:r>
      <w:r>
        <w:rPr>
          <w:rFonts w:ascii="Times New Roman" w:eastAsia="Times New Roman" w:hAnsi="Times New Roman" w:cs="Times New Roman"/>
          <w:color w:val="000000"/>
          <w:sz w:val="24"/>
          <w:szCs w:val="24"/>
          <w:lang w:eastAsia="uk-UA" w:bidi="uk-UA"/>
        </w:rPr>
        <w:t>овадження у справах, виявлено 72</w:t>
      </w:r>
      <w:r w:rsidR="00333430">
        <w:rPr>
          <w:rFonts w:ascii="Times New Roman" w:eastAsia="Times New Roman" w:hAnsi="Times New Roman" w:cs="Times New Roman"/>
          <w:color w:val="000000"/>
          <w:sz w:val="24"/>
          <w:szCs w:val="24"/>
          <w:lang w:eastAsia="uk-UA" w:bidi="uk-UA"/>
        </w:rPr>
        <w:t xml:space="preserve"> випадки</w:t>
      </w:r>
      <w:r w:rsidRPr="00207F89">
        <w:rPr>
          <w:rFonts w:ascii="Times New Roman" w:eastAsia="Times New Roman" w:hAnsi="Times New Roman" w:cs="Times New Roman"/>
          <w:color w:val="000000"/>
          <w:sz w:val="24"/>
          <w:szCs w:val="24"/>
          <w:lang w:eastAsia="uk-UA" w:bidi="uk-UA"/>
        </w:rPr>
        <w:t xml:space="preserve"> порушення норм процесуального права, що були спричиненні перебування</w:t>
      </w:r>
      <w:r w:rsidR="00333430">
        <w:rPr>
          <w:rFonts w:ascii="Times New Roman" w:eastAsia="Times New Roman" w:hAnsi="Times New Roman" w:cs="Times New Roman"/>
          <w:color w:val="000000"/>
          <w:sz w:val="24"/>
          <w:szCs w:val="24"/>
          <w:lang w:eastAsia="uk-UA" w:bidi="uk-UA"/>
        </w:rPr>
        <w:t>м</w:t>
      </w:r>
      <w:r w:rsidRPr="00207F89">
        <w:rPr>
          <w:rFonts w:ascii="Times New Roman" w:eastAsia="Times New Roman" w:hAnsi="Times New Roman" w:cs="Times New Roman"/>
          <w:color w:val="000000"/>
          <w:sz w:val="24"/>
          <w:szCs w:val="24"/>
          <w:lang w:eastAsia="uk-UA" w:bidi="uk-UA"/>
        </w:rPr>
        <w:t xml:space="preserve"> суддів на лікарняному</w:t>
      </w:r>
      <w:r>
        <w:rPr>
          <w:rFonts w:ascii="Times New Roman" w:eastAsia="Times New Roman" w:hAnsi="Times New Roman" w:cs="Times New Roman"/>
          <w:color w:val="000000"/>
          <w:sz w:val="24"/>
          <w:szCs w:val="24"/>
          <w:lang w:eastAsia="uk-UA" w:bidi="uk-UA"/>
        </w:rPr>
        <w:t>, у відрядженні</w:t>
      </w:r>
      <w:r w:rsidRPr="00207F89">
        <w:rPr>
          <w:rFonts w:ascii="Times New Roman" w:eastAsia="Times New Roman" w:hAnsi="Times New Roman" w:cs="Times New Roman"/>
          <w:color w:val="000000"/>
          <w:sz w:val="24"/>
          <w:szCs w:val="24"/>
          <w:lang w:eastAsia="uk-UA" w:bidi="uk-UA"/>
        </w:rPr>
        <w:t xml:space="preserve"> тощо.</w:t>
      </w:r>
      <w:r w:rsidR="00333430">
        <w:rPr>
          <w:rFonts w:ascii="Times New Roman" w:eastAsia="Times New Roman" w:hAnsi="Times New Roman" w:cs="Times New Roman"/>
          <w:color w:val="000000"/>
          <w:sz w:val="24"/>
          <w:szCs w:val="24"/>
          <w:lang w:eastAsia="uk-UA" w:bidi="uk-UA"/>
        </w:rPr>
        <w:t xml:space="preserve"> В</w:t>
      </w:r>
      <w:r>
        <w:rPr>
          <w:rFonts w:ascii="Times New Roman" w:eastAsia="Times New Roman" w:hAnsi="Times New Roman" w:cs="Times New Roman"/>
          <w:color w:val="000000"/>
          <w:sz w:val="24"/>
          <w:szCs w:val="24"/>
          <w:lang w:eastAsia="uk-UA" w:bidi="uk-UA"/>
        </w:rPr>
        <w:t xml:space="preserve"> аналогічному періоді 2016 року цей показник був меншим та становив 40 справ.</w:t>
      </w:r>
    </w:p>
    <w:p w:rsidR="008D436B" w:rsidRPr="00207F89" w:rsidRDefault="008D436B" w:rsidP="008D436B">
      <w:pPr>
        <w:widowControl w:val="0"/>
        <w:spacing w:after="0" w:line="0" w:lineRule="atLeast"/>
        <w:ind w:firstLine="86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Кількість справ розглянутих із порушенням визначених процесуа</w:t>
      </w:r>
      <w:r>
        <w:rPr>
          <w:rFonts w:ascii="Times New Roman" w:eastAsia="Times New Roman" w:hAnsi="Times New Roman" w:cs="Times New Roman"/>
          <w:color w:val="000000"/>
          <w:sz w:val="24"/>
          <w:szCs w:val="24"/>
          <w:lang w:eastAsia="uk-UA" w:bidi="uk-UA"/>
        </w:rPr>
        <w:t>льним законом строків у  2017 року складає 592</w:t>
      </w:r>
      <w:r w:rsidRPr="00207F89">
        <w:rPr>
          <w:rFonts w:ascii="Times New Roman" w:eastAsia="Times New Roman" w:hAnsi="Times New Roman" w:cs="Times New Roman"/>
          <w:color w:val="000000"/>
          <w:sz w:val="24"/>
          <w:szCs w:val="24"/>
          <w:lang w:eastAsia="uk-UA" w:bidi="uk-UA"/>
        </w:rPr>
        <w:t xml:space="preserve"> справ</w:t>
      </w:r>
      <w:r>
        <w:rPr>
          <w:rFonts w:ascii="Times New Roman" w:eastAsia="Times New Roman" w:hAnsi="Times New Roman" w:cs="Times New Roman"/>
          <w:color w:val="000000"/>
          <w:sz w:val="24"/>
          <w:szCs w:val="24"/>
          <w:lang w:eastAsia="uk-UA" w:bidi="uk-UA"/>
        </w:rPr>
        <w:t xml:space="preserve">и або 11% від загальної кількості розглянутих справ. Відтак, цей показник </w:t>
      </w:r>
      <w:r w:rsidRPr="00207F89">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зменшився</w:t>
      </w:r>
      <w:r w:rsidRPr="00207F89">
        <w:rPr>
          <w:rFonts w:ascii="Times New Roman" w:eastAsia="Times New Roman" w:hAnsi="Times New Roman" w:cs="Times New Roman"/>
          <w:color w:val="000000"/>
          <w:sz w:val="24"/>
          <w:szCs w:val="24"/>
          <w:lang w:eastAsia="uk-UA" w:bidi="uk-UA"/>
        </w:rPr>
        <w:t xml:space="preserve"> у порівнянні з ана</w:t>
      </w:r>
      <w:r>
        <w:rPr>
          <w:rFonts w:ascii="Times New Roman" w:eastAsia="Times New Roman" w:hAnsi="Times New Roman" w:cs="Times New Roman"/>
          <w:color w:val="000000"/>
          <w:sz w:val="24"/>
          <w:szCs w:val="24"/>
          <w:lang w:eastAsia="uk-UA" w:bidi="uk-UA"/>
        </w:rPr>
        <w:t>л</w:t>
      </w:r>
      <w:r w:rsidR="00573E95">
        <w:rPr>
          <w:rFonts w:ascii="Times New Roman" w:eastAsia="Times New Roman" w:hAnsi="Times New Roman" w:cs="Times New Roman"/>
          <w:color w:val="000000"/>
          <w:sz w:val="24"/>
          <w:szCs w:val="24"/>
          <w:lang w:eastAsia="uk-UA" w:bidi="uk-UA"/>
        </w:rPr>
        <w:t>огічним періодом 2016 року, в якому із порушенням строку було розглянуто 900 справ або 21 % від загальної кількості розглянутих справ.</w:t>
      </w:r>
      <w:r w:rsidRPr="00207F89">
        <w:rPr>
          <w:rFonts w:ascii="Times New Roman" w:eastAsia="Times New Roman" w:hAnsi="Times New Roman" w:cs="Times New Roman"/>
          <w:color w:val="000000"/>
          <w:sz w:val="24"/>
          <w:szCs w:val="24"/>
          <w:lang w:eastAsia="uk-UA" w:bidi="uk-UA"/>
        </w:rPr>
        <w:t xml:space="preserve"> </w:t>
      </w:r>
    </w:p>
    <w:p w:rsidR="008D436B" w:rsidRPr="00573E95" w:rsidRDefault="008D436B" w:rsidP="00573E95">
      <w:pPr>
        <w:widowControl w:val="0"/>
        <w:spacing w:after="0" w:line="0" w:lineRule="atLeast"/>
        <w:ind w:firstLine="76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Слід відмітити, що порушені строки є незначними, у більшості випадків причинами, які негативно впливали на своєчасність розгляду справ, були неприбуття сторін у судове засідання, відкладення розгляду справ за клопотаннями учасників судового процесу, витребування судом додаткових доказів, оголошення перерви, пе</w:t>
      </w:r>
      <w:r w:rsidR="00573E95">
        <w:rPr>
          <w:rFonts w:ascii="Times New Roman" w:eastAsia="Times New Roman" w:hAnsi="Times New Roman" w:cs="Times New Roman"/>
          <w:color w:val="000000"/>
          <w:sz w:val="24"/>
          <w:szCs w:val="24"/>
          <w:lang w:eastAsia="uk-UA" w:bidi="uk-UA"/>
        </w:rPr>
        <w:t>ребування суддів у відпустках або</w:t>
      </w:r>
      <w:r w:rsidRPr="00207F89">
        <w:rPr>
          <w:rFonts w:ascii="Times New Roman" w:eastAsia="Times New Roman" w:hAnsi="Times New Roman" w:cs="Times New Roman"/>
          <w:color w:val="000000"/>
          <w:sz w:val="24"/>
          <w:szCs w:val="24"/>
          <w:lang w:eastAsia="uk-UA" w:bidi="uk-UA"/>
        </w:rPr>
        <w:t xml:space="preserve"> </w:t>
      </w:r>
      <w:r w:rsidR="00573E95">
        <w:rPr>
          <w:rFonts w:ascii="Times New Roman" w:eastAsia="Times New Roman" w:hAnsi="Times New Roman" w:cs="Times New Roman"/>
          <w:color w:val="000000"/>
          <w:sz w:val="24"/>
          <w:szCs w:val="24"/>
          <w:lang w:eastAsia="uk-UA" w:bidi="uk-UA"/>
        </w:rPr>
        <w:t>на лікарняному,</w:t>
      </w:r>
      <w:r w:rsidRPr="00207F89">
        <w:rPr>
          <w:rFonts w:ascii="Times New Roman" w:eastAsia="Times New Roman" w:hAnsi="Times New Roman" w:cs="Times New Roman"/>
          <w:color w:val="000000"/>
          <w:sz w:val="24"/>
          <w:szCs w:val="24"/>
          <w:lang w:eastAsia="uk-UA" w:bidi="uk-UA"/>
        </w:rPr>
        <w:t xml:space="preserve"> виклик свідків та розгляд заяв про забезпечення доказів.</w:t>
      </w:r>
    </w:p>
    <w:p w:rsidR="00B33EE4" w:rsidRDefault="00A60B13" w:rsidP="00573E95">
      <w:pPr>
        <w:widowControl w:val="0"/>
        <w:spacing w:after="0" w:line="0" w:lineRule="atLeast"/>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Враховуючи статистичні дані звіту форми № 1-оас, затвердженого </w:t>
      </w:r>
      <w:r w:rsidR="002859BE">
        <w:rPr>
          <w:rFonts w:ascii="Times New Roman" w:eastAsia="Times New Roman" w:hAnsi="Times New Roman" w:cs="Times New Roman"/>
          <w:sz w:val="24"/>
          <w:szCs w:val="24"/>
          <w:lang w:eastAsia="uk-UA"/>
        </w:rPr>
        <w:t>наказом Державної судової адміністрації № 311 від 09.03.2017</w:t>
      </w:r>
      <w:r w:rsidR="00E14788">
        <w:rPr>
          <w:rFonts w:ascii="Times New Roman" w:eastAsia="Times New Roman" w:hAnsi="Times New Roman" w:cs="Times New Roman"/>
          <w:sz w:val="24"/>
          <w:szCs w:val="24"/>
          <w:lang w:eastAsia="uk-UA"/>
        </w:rPr>
        <w:t>, можна констатувати оперативність розгляду справ. Так,</w:t>
      </w:r>
      <w:r>
        <w:rPr>
          <w:rFonts w:ascii="Times New Roman" w:eastAsia="Times New Roman" w:hAnsi="Times New Roman" w:cs="Times New Roman"/>
          <w:sz w:val="24"/>
          <w:szCs w:val="24"/>
          <w:lang w:eastAsia="uk-UA"/>
        </w:rPr>
        <w:t xml:space="preserve"> середня тривалість розгляду справ </w:t>
      </w:r>
      <w:r w:rsidR="00E14788">
        <w:rPr>
          <w:rFonts w:ascii="Times New Roman" w:eastAsia="Times New Roman" w:hAnsi="Times New Roman" w:cs="Times New Roman"/>
          <w:sz w:val="24"/>
          <w:szCs w:val="24"/>
          <w:lang w:eastAsia="uk-UA"/>
        </w:rPr>
        <w:t xml:space="preserve">і матеріалів </w:t>
      </w:r>
      <w:r>
        <w:rPr>
          <w:rFonts w:ascii="Times New Roman" w:eastAsia="Times New Roman" w:hAnsi="Times New Roman" w:cs="Times New Roman"/>
          <w:sz w:val="24"/>
          <w:szCs w:val="24"/>
          <w:lang w:eastAsia="uk-UA"/>
        </w:rPr>
        <w:t>у Львівському окружному адміністративному суді становить 66 днів. Зокрема</w:t>
      </w:r>
      <w:r w:rsidR="0033343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у звітному періоді розглянуто</w:t>
      </w:r>
      <w:r w:rsidR="00E14788">
        <w:rPr>
          <w:rFonts w:ascii="Times New Roman" w:eastAsia="Times New Roman" w:hAnsi="Times New Roman" w:cs="Times New Roman"/>
          <w:sz w:val="24"/>
          <w:szCs w:val="24"/>
          <w:lang w:eastAsia="uk-UA"/>
        </w:rPr>
        <w:t xml:space="preserve"> (без вра</w:t>
      </w:r>
      <w:r w:rsidR="002859BE">
        <w:rPr>
          <w:rFonts w:ascii="Times New Roman" w:eastAsia="Times New Roman" w:hAnsi="Times New Roman" w:cs="Times New Roman"/>
          <w:sz w:val="24"/>
          <w:szCs w:val="24"/>
          <w:lang w:eastAsia="uk-UA"/>
        </w:rPr>
        <w:t>хування терміну зупинення</w:t>
      </w:r>
      <w:r w:rsidR="00E14788">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w:t>
      </w:r>
    </w:p>
    <w:p w:rsidR="00A60B13" w:rsidRDefault="00A60B13" w:rsidP="00A60B13">
      <w:pPr>
        <w:pStyle w:val="a9"/>
        <w:widowControl w:val="0"/>
        <w:numPr>
          <w:ilvl w:val="0"/>
          <w:numId w:val="3"/>
        </w:num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 3 місяців – 5873 справи і матеріалів, що становить 85 %</w:t>
      </w:r>
      <w:r w:rsidR="00E14788">
        <w:rPr>
          <w:rFonts w:ascii="Times New Roman" w:eastAsia="Times New Roman" w:hAnsi="Times New Roman" w:cs="Times New Roman"/>
          <w:sz w:val="24"/>
          <w:szCs w:val="24"/>
          <w:lang w:eastAsia="uk-UA"/>
        </w:rPr>
        <w:t xml:space="preserve"> (від загальної кількості розглянутих справ)</w:t>
      </w:r>
      <w:r>
        <w:rPr>
          <w:rFonts w:ascii="Times New Roman" w:eastAsia="Times New Roman" w:hAnsi="Times New Roman" w:cs="Times New Roman"/>
          <w:sz w:val="24"/>
          <w:szCs w:val="24"/>
          <w:lang w:eastAsia="uk-UA"/>
        </w:rPr>
        <w:t>;</w:t>
      </w:r>
    </w:p>
    <w:p w:rsidR="00E14788" w:rsidRDefault="00E14788" w:rsidP="00A60B13">
      <w:pPr>
        <w:pStyle w:val="a9"/>
        <w:widowControl w:val="0"/>
        <w:numPr>
          <w:ilvl w:val="0"/>
          <w:numId w:val="3"/>
        </w:num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3 місяців до 1 року – 842 справи та матеріали, що становить 12 %;</w:t>
      </w:r>
    </w:p>
    <w:p w:rsidR="00E14788" w:rsidRDefault="00E14788" w:rsidP="00A60B13">
      <w:pPr>
        <w:pStyle w:val="a9"/>
        <w:widowControl w:val="0"/>
        <w:numPr>
          <w:ilvl w:val="0"/>
          <w:numId w:val="3"/>
        </w:num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1 року до 2 років – 80 справ і матеріалів, що становить 1%;</w:t>
      </w:r>
    </w:p>
    <w:p w:rsidR="00A60B13" w:rsidRDefault="00E14788" w:rsidP="00A60B13">
      <w:pPr>
        <w:pStyle w:val="a9"/>
        <w:widowControl w:val="0"/>
        <w:numPr>
          <w:ilvl w:val="0"/>
          <w:numId w:val="3"/>
        </w:num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2 років до 3 років -  18 справ і матеріалів, що становить 0,003%;</w:t>
      </w:r>
    </w:p>
    <w:p w:rsidR="006D5121" w:rsidRPr="00333430" w:rsidRDefault="00E14788" w:rsidP="006D5121">
      <w:pPr>
        <w:pStyle w:val="a9"/>
        <w:widowControl w:val="0"/>
        <w:numPr>
          <w:ilvl w:val="0"/>
          <w:numId w:val="3"/>
        </w:num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понад 3 роки – 60 справ і матеріалів</w:t>
      </w:r>
      <w:r w:rsidR="006D5121">
        <w:rPr>
          <w:rFonts w:ascii="Times New Roman" w:eastAsia="Times New Roman" w:hAnsi="Times New Roman" w:cs="Times New Roman"/>
          <w:sz w:val="24"/>
          <w:szCs w:val="24"/>
          <w:lang w:eastAsia="uk-UA"/>
        </w:rPr>
        <w:t>, що становить 1 %.</w:t>
      </w:r>
    </w:p>
    <w:p w:rsidR="00896CD6" w:rsidRDefault="00D35DB2" w:rsidP="00207F89">
      <w:pPr>
        <w:widowControl w:val="0"/>
        <w:spacing w:after="0" w:line="0" w:lineRule="atLeast"/>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Станом на кінець звітного періоду нерозглянутими залишились 1707 справ та матеріалів, або 20 % від кількості тих, що перебували у провадженні. За аналогічний період 2016 року залишок справ становив 14 % від загальної кількості справ та матеріалів, що перебували у провадженні суду.</w:t>
      </w:r>
    </w:p>
    <w:p w:rsidR="00DA34CF" w:rsidRDefault="00DA34CF" w:rsidP="00207F89">
      <w:pPr>
        <w:widowControl w:val="0"/>
        <w:spacing w:after="0" w:line="0" w:lineRule="atLeast"/>
        <w:ind w:firstLine="680"/>
        <w:jc w:val="both"/>
        <w:rPr>
          <w:rFonts w:ascii="Times New Roman" w:eastAsia="Times New Roman" w:hAnsi="Times New Roman" w:cs="Times New Roman"/>
          <w:sz w:val="24"/>
          <w:szCs w:val="24"/>
          <w:lang w:eastAsia="uk-UA"/>
        </w:rPr>
      </w:pPr>
    </w:p>
    <w:p w:rsidR="00E7228A" w:rsidRDefault="00E7228A" w:rsidP="00207F89">
      <w:pPr>
        <w:widowControl w:val="0"/>
        <w:spacing w:after="0" w:line="0" w:lineRule="atLeast"/>
        <w:ind w:firstLine="680"/>
        <w:jc w:val="both"/>
        <w:rPr>
          <w:rFonts w:ascii="Times New Roman" w:eastAsia="Times New Roman" w:hAnsi="Times New Roman" w:cs="Times New Roman"/>
          <w:sz w:val="24"/>
          <w:szCs w:val="24"/>
          <w:lang w:eastAsia="uk-UA"/>
        </w:rPr>
      </w:pPr>
    </w:p>
    <w:p w:rsidR="00DA34CF" w:rsidRDefault="001E3A66" w:rsidP="008D436B">
      <w:pPr>
        <w:pStyle w:val="ac"/>
        <w:numPr>
          <w:ilvl w:val="0"/>
          <w:numId w:val="9"/>
        </w:numPr>
        <w:jc w:val="left"/>
        <w:rPr>
          <w:noProof/>
        </w:rPr>
      </w:pPr>
      <w:r>
        <w:rPr>
          <w:noProof/>
        </w:rPr>
        <w:t>Показники скасування рішень</w:t>
      </w:r>
      <w:r w:rsidR="00E7228A">
        <w:rPr>
          <w:noProof/>
        </w:rPr>
        <w:t xml:space="preserve"> судами вищих інстанцій</w:t>
      </w:r>
      <w:r w:rsidR="008D436B">
        <w:rPr>
          <w:noProof/>
        </w:rPr>
        <w:t>.</w:t>
      </w:r>
    </w:p>
    <w:p w:rsidR="001F09D8" w:rsidRDefault="001F09D8" w:rsidP="00207F89">
      <w:pPr>
        <w:widowControl w:val="0"/>
        <w:tabs>
          <w:tab w:val="left" w:pos="1068"/>
        </w:tabs>
        <w:spacing w:after="0" w:line="0" w:lineRule="atLeast"/>
        <w:jc w:val="both"/>
        <w:rPr>
          <w:rFonts w:ascii="Times New Roman" w:eastAsia="SimSun" w:hAnsi="Times New Roman" w:cs="Times New Roman"/>
          <w:b/>
          <w:bCs/>
          <w:noProof/>
          <w:sz w:val="28"/>
          <w:szCs w:val="28"/>
          <w:lang w:eastAsia="ru-RU"/>
        </w:rPr>
      </w:pPr>
    </w:p>
    <w:p w:rsidR="00207F89" w:rsidRDefault="001E3A66" w:rsidP="001E3A66">
      <w:pPr>
        <w:widowControl w:val="0"/>
        <w:tabs>
          <w:tab w:val="left" w:pos="709"/>
        </w:tabs>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SimSun" w:hAnsi="Times New Roman" w:cs="Times New Roman"/>
          <w:b/>
          <w:bCs/>
          <w:noProof/>
          <w:sz w:val="24"/>
          <w:szCs w:val="24"/>
          <w:lang w:eastAsia="ru-RU"/>
        </w:rPr>
        <w:tab/>
      </w:r>
      <w:r w:rsidR="001F09D8" w:rsidRPr="001F09D8">
        <w:rPr>
          <w:rFonts w:ascii="Times New Roman" w:eastAsia="SimSun" w:hAnsi="Times New Roman" w:cs="Times New Roman"/>
          <w:bCs/>
          <w:noProof/>
          <w:sz w:val="24"/>
          <w:szCs w:val="24"/>
          <w:lang w:eastAsia="ru-RU"/>
        </w:rPr>
        <w:t>У</w:t>
      </w:r>
      <w:r w:rsidR="001F09D8">
        <w:rPr>
          <w:rFonts w:ascii="Times New Roman" w:eastAsia="SimSun" w:hAnsi="Times New Roman" w:cs="Times New Roman"/>
          <w:bCs/>
          <w:noProof/>
          <w:sz w:val="24"/>
          <w:szCs w:val="24"/>
          <w:lang w:eastAsia="ru-RU"/>
        </w:rPr>
        <w:t xml:space="preserve"> 2017 році було оскар</w:t>
      </w:r>
      <w:r w:rsidR="00F90DF3">
        <w:rPr>
          <w:rFonts w:ascii="Times New Roman" w:eastAsia="SimSun" w:hAnsi="Times New Roman" w:cs="Times New Roman"/>
          <w:bCs/>
          <w:noProof/>
          <w:sz w:val="24"/>
          <w:szCs w:val="24"/>
          <w:lang w:eastAsia="ru-RU"/>
        </w:rPr>
        <w:t>жено в апеляційному порядку</w:t>
      </w:r>
      <w:r w:rsidR="001F09D8">
        <w:rPr>
          <w:rFonts w:ascii="Times New Roman" w:eastAsia="SimSun" w:hAnsi="Times New Roman" w:cs="Times New Roman"/>
          <w:bCs/>
          <w:noProof/>
          <w:sz w:val="24"/>
          <w:szCs w:val="24"/>
          <w:lang w:eastAsia="ru-RU"/>
        </w:rPr>
        <w:t xml:space="preserve"> рішення</w:t>
      </w:r>
      <w:r w:rsidR="00333430">
        <w:rPr>
          <w:rFonts w:ascii="Times New Roman" w:eastAsia="SimSun" w:hAnsi="Times New Roman" w:cs="Times New Roman"/>
          <w:bCs/>
          <w:noProof/>
          <w:sz w:val="24"/>
          <w:szCs w:val="24"/>
          <w:lang w:eastAsia="ru-RU"/>
        </w:rPr>
        <w:t xml:space="preserve"> по</w:t>
      </w:r>
      <w:r w:rsidR="00F90DF3">
        <w:rPr>
          <w:rFonts w:ascii="Times New Roman" w:eastAsia="SimSun" w:hAnsi="Times New Roman" w:cs="Times New Roman"/>
          <w:bCs/>
          <w:noProof/>
          <w:sz w:val="24"/>
          <w:szCs w:val="24"/>
          <w:lang w:eastAsia="ru-RU"/>
        </w:rPr>
        <w:t xml:space="preserve"> 2026 справах.</w:t>
      </w:r>
      <w:r w:rsidR="001F09D8">
        <w:rPr>
          <w:rFonts w:ascii="Times New Roman" w:eastAsia="SimSun" w:hAnsi="Times New Roman" w:cs="Times New Roman"/>
          <w:bCs/>
          <w:noProof/>
          <w:sz w:val="24"/>
          <w:szCs w:val="24"/>
          <w:lang w:eastAsia="ru-RU"/>
        </w:rPr>
        <w:tab/>
        <w:t xml:space="preserve">Львівським апеляційним адміністративним судом </w:t>
      </w:r>
      <w:r w:rsidR="00891C88">
        <w:rPr>
          <w:rFonts w:ascii="Times New Roman" w:eastAsia="SimSun" w:hAnsi="Times New Roman" w:cs="Times New Roman"/>
          <w:bCs/>
          <w:noProof/>
          <w:sz w:val="24"/>
          <w:szCs w:val="24"/>
          <w:lang w:eastAsia="ru-RU"/>
        </w:rPr>
        <w:t xml:space="preserve">у звітному періоді </w:t>
      </w:r>
      <w:r w:rsidR="00333430">
        <w:rPr>
          <w:rFonts w:ascii="Times New Roman" w:eastAsia="SimSun" w:hAnsi="Times New Roman" w:cs="Times New Roman"/>
          <w:bCs/>
          <w:noProof/>
          <w:sz w:val="24"/>
          <w:szCs w:val="24"/>
          <w:lang w:eastAsia="ru-RU"/>
        </w:rPr>
        <w:t xml:space="preserve">було </w:t>
      </w:r>
      <w:r w:rsidR="00F90DF3">
        <w:rPr>
          <w:rFonts w:ascii="Times New Roman" w:eastAsia="SimSun" w:hAnsi="Times New Roman" w:cs="Times New Roman"/>
          <w:bCs/>
          <w:noProof/>
          <w:sz w:val="24"/>
          <w:szCs w:val="24"/>
          <w:lang w:eastAsia="ru-RU"/>
        </w:rPr>
        <w:t>п</w:t>
      </w:r>
      <w:r w:rsidR="00333430">
        <w:rPr>
          <w:rFonts w:ascii="Times New Roman" w:eastAsia="SimSun" w:hAnsi="Times New Roman" w:cs="Times New Roman"/>
          <w:bCs/>
          <w:noProof/>
          <w:sz w:val="24"/>
          <w:szCs w:val="24"/>
          <w:lang w:eastAsia="ru-RU"/>
        </w:rPr>
        <w:t>ереглянуто рішення у 1841 справі</w:t>
      </w:r>
      <w:r w:rsidR="00F90DF3">
        <w:rPr>
          <w:rFonts w:ascii="Times New Roman" w:eastAsia="SimSun" w:hAnsi="Times New Roman" w:cs="Times New Roman"/>
          <w:bCs/>
          <w:noProof/>
          <w:sz w:val="24"/>
          <w:szCs w:val="24"/>
          <w:lang w:eastAsia="ru-RU"/>
        </w:rPr>
        <w:t>. З</w:t>
      </w:r>
      <w:r w:rsidR="001F09D8">
        <w:rPr>
          <w:rFonts w:ascii="Times New Roman" w:eastAsia="SimSun" w:hAnsi="Times New Roman" w:cs="Times New Roman"/>
          <w:bCs/>
          <w:noProof/>
          <w:sz w:val="24"/>
          <w:szCs w:val="24"/>
          <w:lang w:eastAsia="ru-RU"/>
        </w:rPr>
        <w:t xml:space="preserve">а наслідками перегляду </w:t>
      </w:r>
      <w:r w:rsidR="00F90DF3">
        <w:rPr>
          <w:rFonts w:ascii="Times New Roman" w:eastAsia="Times New Roman" w:hAnsi="Times New Roman" w:cs="Times New Roman"/>
          <w:color w:val="000000"/>
          <w:sz w:val="24"/>
          <w:szCs w:val="24"/>
          <w:lang w:eastAsia="uk-UA" w:bidi="uk-UA"/>
        </w:rPr>
        <w:t>скасовано 402</w:t>
      </w:r>
      <w:r w:rsidR="00333430">
        <w:rPr>
          <w:rFonts w:ascii="Times New Roman" w:eastAsia="Times New Roman" w:hAnsi="Times New Roman" w:cs="Times New Roman"/>
          <w:color w:val="000000"/>
          <w:sz w:val="24"/>
          <w:szCs w:val="24"/>
          <w:lang w:eastAsia="uk-UA" w:bidi="uk-UA"/>
        </w:rPr>
        <w:t xml:space="preserve"> рішення</w:t>
      </w:r>
      <w:r>
        <w:rPr>
          <w:rFonts w:ascii="Times New Roman" w:eastAsia="Times New Roman" w:hAnsi="Times New Roman" w:cs="Times New Roman"/>
          <w:color w:val="000000"/>
          <w:sz w:val="24"/>
          <w:szCs w:val="24"/>
          <w:lang w:eastAsia="uk-UA" w:bidi="uk-UA"/>
        </w:rPr>
        <w:t xml:space="preserve"> та </w:t>
      </w:r>
      <w:r w:rsidR="009172C4">
        <w:rPr>
          <w:rFonts w:ascii="Times New Roman" w:eastAsia="Times New Roman" w:hAnsi="Times New Roman" w:cs="Times New Roman"/>
          <w:color w:val="000000"/>
          <w:sz w:val="24"/>
          <w:szCs w:val="24"/>
          <w:lang w:eastAsia="uk-UA" w:bidi="uk-UA"/>
        </w:rPr>
        <w:t>змінено 12 рішень</w:t>
      </w:r>
      <w:r w:rsidR="00D610AF">
        <w:rPr>
          <w:rFonts w:ascii="Times New Roman" w:eastAsia="Times New Roman" w:hAnsi="Times New Roman" w:cs="Times New Roman"/>
          <w:color w:val="000000"/>
          <w:sz w:val="24"/>
          <w:szCs w:val="24"/>
          <w:lang w:eastAsia="uk-UA" w:bidi="uk-UA"/>
        </w:rPr>
        <w:t>.</w:t>
      </w:r>
      <w:r w:rsidR="00207F89" w:rsidRPr="001F09D8">
        <w:rPr>
          <w:rFonts w:ascii="Times New Roman" w:eastAsia="Times New Roman" w:hAnsi="Times New Roman" w:cs="Times New Roman"/>
          <w:color w:val="000000"/>
          <w:sz w:val="24"/>
          <w:szCs w:val="24"/>
          <w:lang w:eastAsia="uk-UA" w:bidi="uk-UA"/>
        </w:rPr>
        <w:t xml:space="preserve"> </w:t>
      </w:r>
    </w:p>
    <w:p w:rsidR="001E3A66" w:rsidRDefault="001E3A66" w:rsidP="001E3A66">
      <w:pPr>
        <w:widowControl w:val="0"/>
        <w:tabs>
          <w:tab w:val="left" w:pos="709"/>
        </w:tabs>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ab/>
        <w:t>У справах в яких скасовано рішення вирішено наступне:</w:t>
      </w:r>
    </w:p>
    <w:p w:rsidR="001E3A66" w:rsidRDefault="001E3A66" w:rsidP="001E3A66">
      <w:pPr>
        <w:pStyle w:val="a9"/>
        <w:widowControl w:val="0"/>
        <w:numPr>
          <w:ilvl w:val="0"/>
          <w:numId w:val="3"/>
        </w:numPr>
        <w:tabs>
          <w:tab w:val="left" w:pos="709"/>
        </w:tabs>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прийнято </w:t>
      </w:r>
      <w:r w:rsidR="00F90DF3">
        <w:rPr>
          <w:rFonts w:ascii="Times New Roman" w:eastAsia="Times New Roman" w:hAnsi="Times New Roman" w:cs="Times New Roman"/>
          <w:color w:val="000000"/>
          <w:sz w:val="24"/>
          <w:szCs w:val="24"/>
          <w:lang w:eastAsia="uk-UA" w:bidi="uk-UA"/>
        </w:rPr>
        <w:t>нове рішення -  283</w:t>
      </w:r>
      <w:r w:rsidR="009172C4">
        <w:rPr>
          <w:rFonts w:ascii="Times New Roman" w:eastAsia="Times New Roman" w:hAnsi="Times New Roman" w:cs="Times New Roman"/>
          <w:color w:val="000000"/>
          <w:sz w:val="24"/>
          <w:szCs w:val="24"/>
          <w:lang w:eastAsia="uk-UA" w:bidi="uk-UA"/>
        </w:rPr>
        <w:t xml:space="preserve"> справ</w:t>
      </w:r>
      <w:r>
        <w:rPr>
          <w:rFonts w:ascii="Times New Roman" w:eastAsia="Times New Roman" w:hAnsi="Times New Roman" w:cs="Times New Roman"/>
          <w:color w:val="000000"/>
          <w:sz w:val="24"/>
          <w:szCs w:val="24"/>
          <w:lang w:eastAsia="uk-UA" w:bidi="uk-UA"/>
        </w:rPr>
        <w:t>;</w:t>
      </w:r>
    </w:p>
    <w:p w:rsidR="009172C4" w:rsidRDefault="009172C4" w:rsidP="001E3A66">
      <w:pPr>
        <w:pStyle w:val="a9"/>
        <w:widowControl w:val="0"/>
        <w:numPr>
          <w:ilvl w:val="0"/>
          <w:numId w:val="3"/>
        </w:numPr>
        <w:tabs>
          <w:tab w:val="left" w:pos="709"/>
        </w:tabs>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направле</w:t>
      </w:r>
      <w:r w:rsidR="00F90DF3">
        <w:rPr>
          <w:rFonts w:ascii="Times New Roman" w:eastAsia="Times New Roman" w:hAnsi="Times New Roman" w:cs="Times New Roman"/>
          <w:color w:val="000000"/>
          <w:sz w:val="24"/>
          <w:szCs w:val="24"/>
          <w:lang w:eastAsia="uk-UA" w:bidi="uk-UA"/>
        </w:rPr>
        <w:t>но для продовження розгляду - 79</w:t>
      </w:r>
      <w:r>
        <w:rPr>
          <w:rFonts w:ascii="Times New Roman" w:eastAsia="Times New Roman" w:hAnsi="Times New Roman" w:cs="Times New Roman"/>
          <w:color w:val="000000"/>
          <w:sz w:val="24"/>
          <w:szCs w:val="24"/>
          <w:lang w:eastAsia="uk-UA" w:bidi="uk-UA"/>
        </w:rPr>
        <w:t xml:space="preserve"> справа;</w:t>
      </w:r>
    </w:p>
    <w:p w:rsidR="009172C4" w:rsidRDefault="00F90DF3" w:rsidP="001E3A66">
      <w:pPr>
        <w:pStyle w:val="a9"/>
        <w:widowControl w:val="0"/>
        <w:numPr>
          <w:ilvl w:val="0"/>
          <w:numId w:val="3"/>
        </w:numPr>
        <w:tabs>
          <w:tab w:val="left" w:pos="709"/>
        </w:tabs>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закрито провадження - 32</w:t>
      </w:r>
      <w:r w:rsidR="009172C4">
        <w:rPr>
          <w:rFonts w:ascii="Times New Roman" w:eastAsia="Times New Roman" w:hAnsi="Times New Roman" w:cs="Times New Roman"/>
          <w:color w:val="000000"/>
          <w:sz w:val="24"/>
          <w:szCs w:val="24"/>
          <w:lang w:eastAsia="uk-UA" w:bidi="uk-UA"/>
        </w:rPr>
        <w:t xml:space="preserve"> справа;</w:t>
      </w:r>
    </w:p>
    <w:p w:rsidR="009172C4" w:rsidRDefault="00F90DF3" w:rsidP="001E3A66">
      <w:pPr>
        <w:pStyle w:val="a9"/>
        <w:widowControl w:val="0"/>
        <w:numPr>
          <w:ilvl w:val="0"/>
          <w:numId w:val="3"/>
        </w:numPr>
        <w:tabs>
          <w:tab w:val="left" w:pos="709"/>
        </w:tabs>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залишено без розгляду - 8</w:t>
      </w:r>
      <w:r w:rsidR="009172C4">
        <w:rPr>
          <w:rFonts w:ascii="Times New Roman" w:eastAsia="Times New Roman" w:hAnsi="Times New Roman" w:cs="Times New Roman"/>
          <w:color w:val="000000"/>
          <w:sz w:val="24"/>
          <w:szCs w:val="24"/>
          <w:lang w:eastAsia="uk-UA" w:bidi="uk-UA"/>
        </w:rPr>
        <w:t xml:space="preserve"> справи;</w:t>
      </w:r>
    </w:p>
    <w:p w:rsidR="001E3A66" w:rsidRDefault="009172C4" w:rsidP="001E3A66">
      <w:pPr>
        <w:pStyle w:val="a9"/>
        <w:widowControl w:val="0"/>
        <w:numPr>
          <w:ilvl w:val="0"/>
          <w:numId w:val="3"/>
        </w:numPr>
        <w:tabs>
          <w:tab w:val="left" w:pos="709"/>
        </w:tabs>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направлено на новий розгляд - 3 справи. </w:t>
      </w:r>
    </w:p>
    <w:p w:rsidR="00F90DF3" w:rsidRDefault="00F90DF3" w:rsidP="00F90DF3">
      <w:pPr>
        <w:widowControl w:val="0"/>
        <w:tabs>
          <w:tab w:val="left" w:pos="709"/>
        </w:tabs>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ab/>
        <w:t>Наслідки апеляційного перегляду рішень суду відображено у наступній діаграмі.</w:t>
      </w:r>
    </w:p>
    <w:p w:rsidR="00F90DF3" w:rsidRDefault="00F90DF3" w:rsidP="00F90DF3">
      <w:pPr>
        <w:widowControl w:val="0"/>
        <w:tabs>
          <w:tab w:val="left" w:pos="709"/>
        </w:tabs>
        <w:spacing w:after="0" w:line="0" w:lineRule="atLeast"/>
        <w:jc w:val="both"/>
        <w:rPr>
          <w:rFonts w:ascii="Times New Roman" w:eastAsia="Times New Roman" w:hAnsi="Times New Roman" w:cs="Times New Roman"/>
          <w:color w:val="000000"/>
          <w:sz w:val="24"/>
          <w:szCs w:val="24"/>
          <w:lang w:eastAsia="uk-UA" w:bidi="uk-UA"/>
        </w:rPr>
      </w:pPr>
    </w:p>
    <w:p w:rsidR="00F90DF3" w:rsidRDefault="00F90DF3" w:rsidP="00F90DF3">
      <w:pPr>
        <w:widowControl w:val="0"/>
        <w:tabs>
          <w:tab w:val="left" w:pos="709"/>
        </w:tabs>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noProof/>
          <w:color w:val="000000"/>
          <w:sz w:val="24"/>
          <w:szCs w:val="24"/>
          <w:lang w:eastAsia="uk-UA"/>
        </w:rPr>
        <w:drawing>
          <wp:inline distT="0" distB="0" distL="0" distR="0">
            <wp:extent cx="6057900" cy="37528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90DF3" w:rsidRPr="00F90DF3" w:rsidRDefault="00F90DF3" w:rsidP="00F90DF3">
      <w:pPr>
        <w:widowControl w:val="0"/>
        <w:tabs>
          <w:tab w:val="left" w:pos="709"/>
        </w:tabs>
        <w:spacing w:after="0" w:line="0" w:lineRule="atLeast"/>
        <w:jc w:val="both"/>
        <w:rPr>
          <w:rFonts w:ascii="Times New Roman" w:eastAsia="Times New Roman" w:hAnsi="Times New Roman" w:cs="Times New Roman"/>
          <w:color w:val="000000"/>
          <w:sz w:val="24"/>
          <w:szCs w:val="24"/>
          <w:lang w:eastAsia="uk-UA" w:bidi="uk-UA"/>
        </w:rPr>
      </w:pPr>
    </w:p>
    <w:p w:rsidR="00573E95" w:rsidRDefault="00D610AF" w:rsidP="00207F89">
      <w:pPr>
        <w:widowControl w:val="0"/>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ab/>
        <w:t>В звітному періоді Вищим адміністративним судом України було витребувано для касаційного перегляду 917</w:t>
      </w:r>
      <w:r w:rsidR="00D50CAC">
        <w:rPr>
          <w:rFonts w:ascii="Times New Roman" w:eastAsia="Times New Roman" w:hAnsi="Times New Roman" w:cs="Times New Roman"/>
          <w:color w:val="000000"/>
          <w:sz w:val="24"/>
          <w:szCs w:val="24"/>
          <w:lang w:eastAsia="uk-UA" w:bidi="uk-UA"/>
        </w:rPr>
        <w:t xml:space="preserve"> справ</w:t>
      </w:r>
      <w:r w:rsidR="00DC7A06">
        <w:rPr>
          <w:rFonts w:ascii="Times New Roman" w:eastAsia="Times New Roman" w:hAnsi="Times New Roman" w:cs="Times New Roman"/>
          <w:color w:val="000000"/>
          <w:sz w:val="24"/>
          <w:szCs w:val="24"/>
          <w:lang w:eastAsia="uk-UA" w:bidi="uk-UA"/>
        </w:rPr>
        <w:t>. Тоді як</w:t>
      </w:r>
      <w:r w:rsidR="00F33DF9">
        <w:rPr>
          <w:rFonts w:ascii="Times New Roman" w:eastAsia="Times New Roman" w:hAnsi="Times New Roman" w:cs="Times New Roman"/>
          <w:color w:val="000000"/>
          <w:sz w:val="24"/>
          <w:szCs w:val="24"/>
          <w:lang w:eastAsia="uk-UA" w:bidi="uk-UA"/>
        </w:rPr>
        <w:t xml:space="preserve"> у 2017 році касаційним судом </w:t>
      </w:r>
      <w:r w:rsidR="00DC7A06">
        <w:rPr>
          <w:rFonts w:ascii="Times New Roman" w:eastAsia="Times New Roman" w:hAnsi="Times New Roman" w:cs="Times New Roman"/>
          <w:color w:val="000000"/>
          <w:sz w:val="24"/>
          <w:szCs w:val="24"/>
          <w:lang w:eastAsia="uk-UA" w:bidi="uk-UA"/>
        </w:rPr>
        <w:t xml:space="preserve">було розглянуто </w:t>
      </w:r>
      <w:r w:rsidR="00F33DF9">
        <w:rPr>
          <w:rFonts w:ascii="Times New Roman" w:eastAsia="Times New Roman" w:hAnsi="Times New Roman" w:cs="Times New Roman"/>
          <w:color w:val="000000"/>
          <w:sz w:val="24"/>
          <w:szCs w:val="24"/>
          <w:lang w:eastAsia="uk-UA" w:bidi="uk-UA"/>
        </w:rPr>
        <w:t>455 справ</w:t>
      </w:r>
      <w:r w:rsidR="00DC7A06">
        <w:rPr>
          <w:rFonts w:ascii="Times New Roman" w:eastAsia="Times New Roman" w:hAnsi="Times New Roman" w:cs="Times New Roman"/>
          <w:color w:val="000000"/>
          <w:sz w:val="24"/>
          <w:szCs w:val="24"/>
          <w:lang w:eastAsia="uk-UA" w:bidi="uk-UA"/>
        </w:rPr>
        <w:t>, що надійшли</w:t>
      </w:r>
      <w:r w:rsidR="00F33DF9">
        <w:rPr>
          <w:rFonts w:ascii="Times New Roman" w:eastAsia="Times New Roman" w:hAnsi="Times New Roman" w:cs="Times New Roman"/>
          <w:color w:val="000000"/>
          <w:sz w:val="24"/>
          <w:szCs w:val="24"/>
          <w:lang w:eastAsia="uk-UA" w:bidi="uk-UA"/>
        </w:rPr>
        <w:t xml:space="preserve"> із Львівського окружного адміністративного суду.</w:t>
      </w:r>
    </w:p>
    <w:p w:rsidR="00FD7CBB" w:rsidRDefault="001E3A66" w:rsidP="00207F89">
      <w:pPr>
        <w:widowControl w:val="0"/>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ab/>
        <w:t>За наслідками перегляду у 2017 році касаційн</w:t>
      </w:r>
      <w:r w:rsidR="009172C4">
        <w:rPr>
          <w:rFonts w:ascii="Times New Roman" w:eastAsia="Times New Roman" w:hAnsi="Times New Roman" w:cs="Times New Roman"/>
          <w:color w:val="000000"/>
          <w:sz w:val="24"/>
          <w:szCs w:val="24"/>
          <w:lang w:eastAsia="uk-UA" w:bidi="uk-UA"/>
        </w:rPr>
        <w:t>им судом</w:t>
      </w:r>
      <w:r w:rsidR="00F33DF9">
        <w:rPr>
          <w:rFonts w:ascii="Times New Roman" w:eastAsia="Times New Roman" w:hAnsi="Times New Roman" w:cs="Times New Roman"/>
          <w:color w:val="000000"/>
          <w:sz w:val="24"/>
          <w:szCs w:val="24"/>
          <w:lang w:eastAsia="uk-UA" w:bidi="uk-UA"/>
        </w:rPr>
        <w:t xml:space="preserve"> змінено 4</w:t>
      </w:r>
      <w:r>
        <w:rPr>
          <w:rFonts w:ascii="Times New Roman" w:eastAsia="Times New Roman" w:hAnsi="Times New Roman" w:cs="Times New Roman"/>
          <w:color w:val="000000"/>
          <w:sz w:val="24"/>
          <w:szCs w:val="24"/>
          <w:lang w:eastAsia="uk-UA" w:bidi="uk-UA"/>
        </w:rPr>
        <w:t xml:space="preserve"> рішення</w:t>
      </w:r>
      <w:r w:rsidR="00F33DF9">
        <w:rPr>
          <w:rFonts w:ascii="Times New Roman" w:eastAsia="Times New Roman" w:hAnsi="Times New Roman" w:cs="Times New Roman"/>
          <w:color w:val="000000"/>
          <w:sz w:val="24"/>
          <w:szCs w:val="24"/>
          <w:lang w:eastAsia="uk-UA" w:bidi="uk-UA"/>
        </w:rPr>
        <w:t>, а також скасовано 90 рішень, з яких</w:t>
      </w:r>
      <w:r w:rsidR="00FD7CBB">
        <w:rPr>
          <w:rFonts w:ascii="Times New Roman" w:eastAsia="Times New Roman" w:hAnsi="Times New Roman" w:cs="Times New Roman"/>
          <w:color w:val="000000"/>
          <w:sz w:val="24"/>
          <w:szCs w:val="24"/>
          <w:lang w:eastAsia="uk-UA" w:bidi="uk-UA"/>
        </w:rPr>
        <w:t>:</w:t>
      </w:r>
    </w:p>
    <w:p w:rsidR="00FD7CBB" w:rsidRDefault="00FD7CBB" w:rsidP="00207F89">
      <w:pPr>
        <w:widowControl w:val="0"/>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w:t>
      </w:r>
      <w:r w:rsidR="008B6EDB">
        <w:rPr>
          <w:rFonts w:ascii="Times New Roman" w:eastAsia="Times New Roman" w:hAnsi="Times New Roman" w:cs="Times New Roman"/>
          <w:color w:val="000000"/>
          <w:sz w:val="24"/>
          <w:szCs w:val="24"/>
          <w:lang w:eastAsia="uk-UA" w:bidi="uk-UA"/>
        </w:rPr>
        <w:t xml:space="preserve"> 52</w:t>
      </w:r>
      <w:r w:rsidR="009172C4">
        <w:rPr>
          <w:rFonts w:ascii="Times New Roman" w:eastAsia="Times New Roman" w:hAnsi="Times New Roman" w:cs="Times New Roman"/>
          <w:color w:val="000000"/>
          <w:sz w:val="24"/>
          <w:szCs w:val="24"/>
          <w:lang w:eastAsia="uk-UA" w:bidi="uk-UA"/>
        </w:rPr>
        <w:t xml:space="preserve"> справ</w:t>
      </w:r>
      <w:r w:rsidR="008B6EDB">
        <w:rPr>
          <w:rFonts w:ascii="Times New Roman" w:eastAsia="Times New Roman" w:hAnsi="Times New Roman" w:cs="Times New Roman"/>
          <w:color w:val="000000"/>
          <w:sz w:val="24"/>
          <w:szCs w:val="24"/>
          <w:lang w:eastAsia="uk-UA" w:bidi="uk-UA"/>
        </w:rPr>
        <w:t>и</w:t>
      </w:r>
      <w:r>
        <w:rPr>
          <w:rFonts w:ascii="Times New Roman" w:eastAsia="Times New Roman" w:hAnsi="Times New Roman" w:cs="Times New Roman"/>
          <w:color w:val="000000"/>
          <w:sz w:val="24"/>
          <w:szCs w:val="24"/>
          <w:lang w:eastAsia="uk-UA" w:bidi="uk-UA"/>
        </w:rPr>
        <w:t xml:space="preserve"> - направлено на новий розгляд;</w:t>
      </w:r>
    </w:p>
    <w:p w:rsidR="00FD7CBB" w:rsidRDefault="00FD7CBB" w:rsidP="00207F89">
      <w:pPr>
        <w:widowControl w:val="0"/>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w:t>
      </w:r>
      <w:r w:rsidR="008B6EDB">
        <w:rPr>
          <w:rFonts w:ascii="Times New Roman" w:eastAsia="Times New Roman" w:hAnsi="Times New Roman" w:cs="Times New Roman"/>
          <w:color w:val="000000"/>
          <w:sz w:val="24"/>
          <w:szCs w:val="24"/>
          <w:lang w:eastAsia="uk-UA" w:bidi="uk-UA"/>
        </w:rPr>
        <w:t xml:space="preserve"> 15 справ</w:t>
      </w:r>
      <w:r w:rsidR="009172C4">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 направлено для</w:t>
      </w:r>
      <w:r w:rsidR="009172C4">
        <w:rPr>
          <w:rFonts w:ascii="Times New Roman" w:eastAsia="Times New Roman" w:hAnsi="Times New Roman" w:cs="Times New Roman"/>
          <w:color w:val="000000"/>
          <w:sz w:val="24"/>
          <w:szCs w:val="24"/>
          <w:lang w:eastAsia="uk-UA" w:bidi="uk-UA"/>
        </w:rPr>
        <w:t xml:space="preserve"> продовження розгляду</w:t>
      </w:r>
      <w:r>
        <w:rPr>
          <w:rFonts w:ascii="Times New Roman" w:eastAsia="Times New Roman" w:hAnsi="Times New Roman" w:cs="Times New Roman"/>
          <w:color w:val="000000"/>
          <w:sz w:val="24"/>
          <w:szCs w:val="24"/>
          <w:lang w:eastAsia="uk-UA" w:bidi="uk-UA"/>
        </w:rPr>
        <w:t>;</w:t>
      </w:r>
    </w:p>
    <w:p w:rsidR="00FD7CBB" w:rsidRDefault="008B6EDB" w:rsidP="00207F89">
      <w:pPr>
        <w:widowControl w:val="0"/>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- 16</w:t>
      </w:r>
      <w:r w:rsidR="00FD7CBB">
        <w:rPr>
          <w:rFonts w:ascii="Times New Roman" w:eastAsia="Times New Roman" w:hAnsi="Times New Roman" w:cs="Times New Roman"/>
          <w:color w:val="000000"/>
          <w:sz w:val="24"/>
          <w:szCs w:val="24"/>
          <w:lang w:eastAsia="uk-UA" w:bidi="uk-UA"/>
        </w:rPr>
        <w:t xml:space="preserve"> справ - прийнято нове рішення;</w:t>
      </w:r>
    </w:p>
    <w:p w:rsidR="00F33DF9" w:rsidRDefault="00F33DF9" w:rsidP="00207F89">
      <w:pPr>
        <w:widowControl w:val="0"/>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- 6 справ</w:t>
      </w:r>
      <w:r w:rsidR="00FD7CBB">
        <w:rPr>
          <w:rFonts w:ascii="Times New Roman" w:eastAsia="Times New Roman" w:hAnsi="Times New Roman" w:cs="Times New Roman"/>
          <w:color w:val="000000"/>
          <w:sz w:val="24"/>
          <w:szCs w:val="24"/>
          <w:lang w:eastAsia="uk-UA" w:bidi="uk-UA"/>
        </w:rPr>
        <w:t xml:space="preserve"> - провадження по справі закрито</w:t>
      </w:r>
      <w:r>
        <w:rPr>
          <w:rFonts w:ascii="Times New Roman" w:eastAsia="Times New Roman" w:hAnsi="Times New Roman" w:cs="Times New Roman"/>
          <w:color w:val="000000"/>
          <w:sz w:val="24"/>
          <w:szCs w:val="24"/>
          <w:lang w:eastAsia="uk-UA" w:bidi="uk-UA"/>
        </w:rPr>
        <w:t>;</w:t>
      </w:r>
    </w:p>
    <w:p w:rsidR="001E3A66" w:rsidRDefault="00F33DF9" w:rsidP="00207F89">
      <w:pPr>
        <w:widowControl w:val="0"/>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- 1 справа - позов залишено без розгляду</w:t>
      </w:r>
      <w:r w:rsidR="001E3A66">
        <w:rPr>
          <w:rFonts w:ascii="Times New Roman" w:eastAsia="Times New Roman" w:hAnsi="Times New Roman" w:cs="Times New Roman"/>
          <w:color w:val="000000"/>
          <w:sz w:val="24"/>
          <w:szCs w:val="24"/>
          <w:lang w:eastAsia="uk-UA" w:bidi="uk-UA"/>
        </w:rPr>
        <w:t>.</w:t>
      </w:r>
      <w:r w:rsidR="009172C4">
        <w:rPr>
          <w:rFonts w:ascii="Times New Roman" w:eastAsia="Times New Roman" w:hAnsi="Times New Roman" w:cs="Times New Roman"/>
          <w:color w:val="000000"/>
          <w:sz w:val="24"/>
          <w:szCs w:val="24"/>
          <w:lang w:eastAsia="uk-UA" w:bidi="uk-UA"/>
        </w:rPr>
        <w:t xml:space="preserve"> </w:t>
      </w:r>
    </w:p>
    <w:p w:rsidR="008B6EDB" w:rsidRDefault="00F90DF3" w:rsidP="00207F89">
      <w:pPr>
        <w:widowControl w:val="0"/>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ab/>
        <w:t>Наслідки касаційного перегляду</w:t>
      </w:r>
      <w:r w:rsidR="008B6EDB">
        <w:rPr>
          <w:rFonts w:ascii="Times New Roman" w:eastAsia="Times New Roman" w:hAnsi="Times New Roman" w:cs="Times New Roman"/>
          <w:color w:val="000000"/>
          <w:sz w:val="24"/>
          <w:szCs w:val="24"/>
          <w:lang w:eastAsia="uk-UA" w:bidi="uk-UA"/>
        </w:rPr>
        <w:t xml:space="preserve"> рішень суду відображено у наступній діаграмі.</w:t>
      </w:r>
    </w:p>
    <w:p w:rsidR="008B6EDB" w:rsidRDefault="008B6EDB" w:rsidP="00207F89">
      <w:pPr>
        <w:widowControl w:val="0"/>
        <w:spacing w:after="0" w:line="0" w:lineRule="atLeast"/>
        <w:jc w:val="both"/>
        <w:rPr>
          <w:rFonts w:ascii="Times New Roman" w:eastAsia="Times New Roman" w:hAnsi="Times New Roman" w:cs="Times New Roman"/>
          <w:color w:val="000000"/>
          <w:sz w:val="24"/>
          <w:szCs w:val="24"/>
          <w:lang w:eastAsia="uk-UA" w:bidi="uk-UA"/>
        </w:rPr>
      </w:pPr>
    </w:p>
    <w:p w:rsidR="008B6EDB" w:rsidRDefault="008B6EDB" w:rsidP="00207F89">
      <w:pPr>
        <w:widowControl w:val="0"/>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noProof/>
          <w:color w:val="000000"/>
          <w:sz w:val="24"/>
          <w:szCs w:val="24"/>
          <w:lang w:eastAsia="uk-UA"/>
        </w:rPr>
        <w:lastRenderedPageBreak/>
        <w:drawing>
          <wp:inline distT="0" distB="0" distL="0" distR="0">
            <wp:extent cx="5791200" cy="32575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6EDB" w:rsidRDefault="008B6EDB" w:rsidP="00207F89">
      <w:pPr>
        <w:widowControl w:val="0"/>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ab/>
      </w:r>
    </w:p>
    <w:p w:rsidR="003F0730" w:rsidRDefault="00D610AF" w:rsidP="00207F89">
      <w:pPr>
        <w:widowControl w:val="0"/>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ab/>
      </w:r>
    </w:p>
    <w:p w:rsidR="001E3A66" w:rsidRDefault="003F0730" w:rsidP="00207F89">
      <w:pPr>
        <w:widowControl w:val="0"/>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ab/>
      </w:r>
      <w:r w:rsidR="001E3A66">
        <w:rPr>
          <w:rFonts w:ascii="Times New Roman" w:eastAsia="Times New Roman" w:hAnsi="Times New Roman" w:cs="Times New Roman"/>
          <w:color w:val="000000"/>
          <w:sz w:val="24"/>
          <w:szCs w:val="24"/>
          <w:lang w:eastAsia="uk-UA" w:bidi="uk-UA"/>
        </w:rPr>
        <w:t>До Верховного Суду України у 201</w:t>
      </w:r>
      <w:r w:rsidR="00CD5918">
        <w:rPr>
          <w:rFonts w:ascii="Times New Roman" w:eastAsia="Times New Roman" w:hAnsi="Times New Roman" w:cs="Times New Roman"/>
          <w:color w:val="000000"/>
          <w:sz w:val="24"/>
          <w:szCs w:val="24"/>
          <w:lang w:eastAsia="uk-UA" w:bidi="uk-UA"/>
        </w:rPr>
        <w:t>7 році було направлено 15 справ, при цьому</w:t>
      </w:r>
      <w:r w:rsidR="00DC7A06">
        <w:rPr>
          <w:rFonts w:ascii="Times New Roman" w:eastAsia="Times New Roman" w:hAnsi="Times New Roman" w:cs="Times New Roman"/>
          <w:color w:val="000000"/>
          <w:sz w:val="24"/>
          <w:szCs w:val="24"/>
          <w:lang w:eastAsia="uk-UA" w:bidi="uk-UA"/>
        </w:rPr>
        <w:t xml:space="preserve"> переглянуто 3 справи, і лише в</w:t>
      </w:r>
      <w:r w:rsidR="00CD5918">
        <w:rPr>
          <w:rFonts w:ascii="Times New Roman" w:eastAsia="Times New Roman" w:hAnsi="Times New Roman" w:cs="Times New Roman"/>
          <w:color w:val="000000"/>
          <w:sz w:val="24"/>
          <w:szCs w:val="24"/>
          <w:lang w:eastAsia="uk-UA" w:bidi="uk-UA"/>
        </w:rPr>
        <w:t xml:space="preserve"> 1 справі скасовано </w:t>
      </w:r>
      <w:r w:rsidR="00DC7A06">
        <w:rPr>
          <w:rFonts w:ascii="Times New Roman" w:eastAsia="Times New Roman" w:hAnsi="Times New Roman" w:cs="Times New Roman"/>
          <w:color w:val="000000"/>
          <w:sz w:val="24"/>
          <w:szCs w:val="24"/>
          <w:lang w:eastAsia="uk-UA" w:bidi="uk-UA"/>
        </w:rPr>
        <w:t>рішення судів всіх інстанцій та прийнято нове рішення</w:t>
      </w:r>
      <w:r w:rsidR="00CD5918">
        <w:rPr>
          <w:rFonts w:ascii="Times New Roman" w:eastAsia="Times New Roman" w:hAnsi="Times New Roman" w:cs="Times New Roman"/>
          <w:color w:val="000000"/>
          <w:sz w:val="24"/>
          <w:szCs w:val="24"/>
          <w:lang w:eastAsia="uk-UA" w:bidi="uk-UA"/>
        </w:rPr>
        <w:t>.</w:t>
      </w:r>
    </w:p>
    <w:p w:rsidR="00D610AF" w:rsidRDefault="001E3A66" w:rsidP="00207F89">
      <w:pPr>
        <w:widowControl w:val="0"/>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p>
    <w:p w:rsidR="00573E95" w:rsidRDefault="00573E95" w:rsidP="00207F89">
      <w:pPr>
        <w:widowControl w:val="0"/>
        <w:spacing w:after="0" w:line="0" w:lineRule="atLeast"/>
        <w:jc w:val="both"/>
        <w:rPr>
          <w:rFonts w:ascii="Times New Roman" w:eastAsia="Times New Roman" w:hAnsi="Times New Roman" w:cs="Times New Roman"/>
          <w:color w:val="000000"/>
          <w:sz w:val="24"/>
          <w:szCs w:val="24"/>
          <w:lang w:eastAsia="uk-UA" w:bidi="uk-UA"/>
        </w:rPr>
      </w:pPr>
    </w:p>
    <w:p w:rsidR="00C61241" w:rsidRPr="00C61241" w:rsidRDefault="00C61241" w:rsidP="00C61241">
      <w:pPr>
        <w:pStyle w:val="ac"/>
        <w:numPr>
          <w:ilvl w:val="0"/>
          <w:numId w:val="9"/>
        </w:numPr>
        <w:jc w:val="left"/>
        <w:rPr>
          <w:noProof/>
        </w:rPr>
      </w:pPr>
      <w:r>
        <w:rPr>
          <w:noProof/>
        </w:rPr>
        <w:t>Інформація про звернення до в</w:t>
      </w:r>
      <w:r w:rsidR="00573E95">
        <w:rPr>
          <w:noProof/>
        </w:rPr>
        <w:t>иконання рішень суду</w:t>
      </w:r>
      <w:r>
        <w:rPr>
          <w:noProof/>
        </w:rPr>
        <w:t xml:space="preserve"> та</w:t>
      </w:r>
    </w:p>
    <w:p w:rsidR="00573E95" w:rsidRDefault="00C61241" w:rsidP="00C61241">
      <w:pPr>
        <w:pStyle w:val="ac"/>
        <w:ind w:left="2160"/>
        <w:jc w:val="left"/>
        <w:rPr>
          <w:noProof/>
        </w:rPr>
      </w:pPr>
      <w:r w:rsidRPr="00DC7A06">
        <w:rPr>
          <w:noProof/>
        </w:rPr>
        <w:t xml:space="preserve">                   </w:t>
      </w:r>
      <w:r>
        <w:rPr>
          <w:noProof/>
        </w:rPr>
        <w:t>стягнення судового збору</w:t>
      </w:r>
    </w:p>
    <w:p w:rsidR="001E3A66" w:rsidRDefault="001E3A66" w:rsidP="00C61241">
      <w:pPr>
        <w:pStyle w:val="ac"/>
        <w:ind w:left="2160"/>
        <w:jc w:val="left"/>
        <w:rPr>
          <w:noProof/>
        </w:rPr>
      </w:pPr>
    </w:p>
    <w:p w:rsidR="00573E95" w:rsidRDefault="00DC7A06" w:rsidP="00C61241">
      <w:pPr>
        <w:pStyle w:val="ac"/>
        <w:ind w:firstLine="708"/>
        <w:jc w:val="both"/>
        <w:rPr>
          <w:b w:val="0"/>
          <w:noProof/>
          <w:sz w:val="24"/>
          <w:szCs w:val="24"/>
        </w:rPr>
      </w:pPr>
      <w:r>
        <w:rPr>
          <w:b w:val="0"/>
          <w:noProof/>
          <w:sz w:val="24"/>
          <w:szCs w:val="24"/>
        </w:rPr>
        <w:t>Показники звер</w:t>
      </w:r>
      <w:r w:rsidR="00573E95" w:rsidRPr="00573E95">
        <w:rPr>
          <w:b w:val="0"/>
          <w:noProof/>
          <w:sz w:val="24"/>
          <w:szCs w:val="24"/>
        </w:rPr>
        <w:t xml:space="preserve">нення до виконання рішень суду взято із звіту форми № </w:t>
      </w:r>
      <w:r w:rsidR="00C61241">
        <w:rPr>
          <w:b w:val="0"/>
          <w:noProof/>
          <w:sz w:val="24"/>
          <w:szCs w:val="24"/>
        </w:rPr>
        <w:t>4,</w:t>
      </w:r>
      <w:r w:rsidR="004E184F">
        <w:rPr>
          <w:b w:val="0"/>
          <w:noProof/>
          <w:sz w:val="24"/>
          <w:szCs w:val="24"/>
        </w:rPr>
        <w:t xml:space="preserve"> у редакції затвердженій</w:t>
      </w:r>
      <w:r w:rsidR="00C61241">
        <w:rPr>
          <w:b w:val="0"/>
          <w:noProof/>
          <w:sz w:val="24"/>
          <w:szCs w:val="24"/>
        </w:rPr>
        <w:t xml:space="preserve"> наказом Державної судової адмінітсрації України № 73 від 02.07.2012.</w:t>
      </w:r>
    </w:p>
    <w:p w:rsidR="00C61241" w:rsidRDefault="00C61241" w:rsidP="00C61241">
      <w:pPr>
        <w:pStyle w:val="ac"/>
        <w:ind w:firstLine="708"/>
        <w:jc w:val="both"/>
        <w:rPr>
          <w:b w:val="0"/>
          <w:noProof/>
          <w:sz w:val="24"/>
          <w:szCs w:val="24"/>
          <w:lang w:val="ru-RU"/>
        </w:rPr>
      </w:pPr>
      <w:r>
        <w:rPr>
          <w:b w:val="0"/>
          <w:noProof/>
          <w:sz w:val="24"/>
          <w:szCs w:val="24"/>
        </w:rPr>
        <w:t>У звітному періоді 2017 року судом видано на виконання 2100 виконавчих листі</w:t>
      </w:r>
      <w:r w:rsidR="00DC7A06">
        <w:rPr>
          <w:b w:val="0"/>
          <w:noProof/>
          <w:sz w:val="24"/>
          <w:szCs w:val="24"/>
        </w:rPr>
        <w:t>в</w:t>
      </w:r>
      <w:r w:rsidR="004E184F">
        <w:rPr>
          <w:b w:val="0"/>
          <w:noProof/>
          <w:sz w:val="24"/>
          <w:szCs w:val="24"/>
          <w:lang w:val="ru-RU"/>
        </w:rPr>
        <w:t>, що на 31</w:t>
      </w:r>
      <w:r w:rsidRPr="00C61241">
        <w:rPr>
          <w:b w:val="0"/>
          <w:noProof/>
          <w:sz w:val="24"/>
          <w:szCs w:val="24"/>
          <w:lang w:val="ru-RU"/>
        </w:rPr>
        <w:t xml:space="preserve"> % більше порівняно із аналогічним періодом 2016 року</w:t>
      </w:r>
      <w:r w:rsidR="004E184F">
        <w:rPr>
          <w:b w:val="0"/>
          <w:noProof/>
          <w:sz w:val="24"/>
          <w:szCs w:val="24"/>
          <w:lang w:val="ru-RU"/>
        </w:rPr>
        <w:t xml:space="preserve"> (1454)</w:t>
      </w:r>
      <w:r w:rsidRPr="00C61241">
        <w:rPr>
          <w:b w:val="0"/>
          <w:noProof/>
          <w:sz w:val="24"/>
          <w:szCs w:val="24"/>
          <w:lang w:val="ru-RU"/>
        </w:rPr>
        <w:t>.</w:t>
      </w:r>
    </w:p>
    <w:p w:rsidR="00891C88" w:rsidRDefault="00891C88" w:rsidP="00C61241">
      <w:pPr>
        <w:pStyle w:val="ac"/>
        <w:ind w:firstLine="708"/>
        <w:jc w:val="both"/>
        <w:rPr>
          <w:b w:val="0"/>
          <w:noProof/>
          <w:sz w:val="24"/>
          <w:szCs w:val="24"/>
          <w:lang w:val="ru-RU"/>
        </w:rPr>
      </w:pPr>
      <w:r>
        <w:rPr>
          <w:b w:val="0"/>
          <w:noProof/>
          <w:sz w:val="24"/>
          <w:szCs w:val="24"/>
          <w:lang w:val="ru-RU"/>
        </w:rPr>
        <w:t>Тенденція видачі ви</w:t>
      </w:r>
      <w:r w:rsidR="00DC7A06">
        <w:rPr>
          <w:b w:val="0"/>
          <w:noProof/>
          <w:sz w:val="24"/>
          <w:szCs w:val="24"/>
          <w:lang w:val="ru-RU"/>
        </w:rPr>
        <w:t>конавчих листів за 2015-2016 роки</w:t>
      </w:r>
      <w:r>
        <w:rPr>
          <w:b w:val="0"/>
          <w:noProof/>
          <w:sz w:val="24"/>
          <w:szCs w:val="24"/>
          <w:lang w:val="ru-RU"/>
        </w:rPr>
        <w:t xml:space="preserve"> наведена у наступному графіку.</w:t>
      </w:r>
    </w:p>
    <w:p w:rsidR="00DC7A06" w:rsidRDefault="00DC7A06" w:rsidP="00C61241">
      <w:pPr>
        <w:pStyle w:val="ac"/>
        <w:ind w:firstLine="708"/>
        <w:jc w:val="both"/>
        <w:rPr>
          <w:b w:val="0"/>
          <w:noProof/>
          <w:sz w:val="24"/>
          <w:szCs w:val="24"/>
          <w:lang w:val="ru-RU"/>
        </w:rPr>
      </w:pPr>
    </w:p>
    <w:p w:rsidR="00891C88" w:rsidRDefault="00891C88" w:rsidP="00C61241">
      <w:pPr>
        <w:pStyle w:val="ac"/>
        <w:ind w:firstLine="708"/>
        <w:jc w:val="both"/>
        <w:rPr>
          <w:b w:val="0"/>
          <w:noProof/>
          <w:sz w:val="24"/>
          <w:szCs w:val="24"/>
          <w:lang w:val="ru-RU"/>
        </w:rPr>
      </w:pPr>
      <w:r>
        <w:rPr>
          <w:b w:val="0"/>
          <w:noProof/>
          <w:sz w:val="24"/>
          <w:szCs w:val="24"/>
          <w:lang w:eastAsia="uk-UA"/>
        </w:rPr>
        <w:drawing>
          <wp:inline distT="0" distB="0" distL="0" distR="0">
            <wp:extent cx="5486400" cy="27908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91C88" w:rsidRDefault="00891C88" w:rsidP="00C61241">
      <w:pPr>
        <w:pStyle w:val="ac"/>
        <w:ind w:firstLine="708"/>
        <w:jc w:val="both"/>
        <w:rPr>
          <w:b w:val="0"/>
          <w:noProof/>
          <w:sz w:val="24"/>
          <w:szCs w:val="24"/>
          <w:lang w:val="ru-RU"/>
        </w:rPr>
      </w:pPr>
    </w:p>
    <w:p w:rsidR="00891C88" w:rsidRPr="00C61241" w:rsidRDefault="00891C88" w:rsidP="00C61241">
      <w:pPr>
        <w:pStyle w:val="ac"/>
        <w:ind w:firstLine="708"/>
        <w:jc w:val="both"/>
        <w:rPr>
          <w:b w:val="0"/>
          <w:noProof/>
          <w:sz w:val="24"/>
          <w:szCs w:val="24"/>
          <w:lang w:val="ru-RU"/>
        </w:rPr>
      </w:pPr>
    </w:p>
    <w:p w:rsidR="004E184F" w:rsidRDefault="00DC7A06" w:rsidP="00C61241">
      <w:pPr>
        <w:pStyle w:val="ac"/>
        <w:ind w:firstLine="708"/>
        <w:jc w:val="both"/>
        <w:rPr>
          <w:b w:val="0"/>
          <w:noProof/>
          <w:sz w:val="24"/>
          <w:szCs w:val="24"/>
          <w:lang w:val="ru-RU"/>
        </w:rPr>
      </w:pPr>
      <w:r>
        <w:rPr>
          <w:b w:val="0"/>
          <w:noProof/>
          <w:sz w:val="24"/>
          <w:szCs w:val="24"/>
          <w:lang w:val="ru-RU"/>
        </w:rPr>
        <w:t>Зі</w:t>
      </w:r>
      <w:r w:rsidR="00C61241">
        <w:rPr>
          <w:b w:val="0"/>
          <w:noProof/>
          <w:sz w:val="24"/>
          <w:szCs w:val="24"/>
          <w:lang w:val="ru-RU"/>
        </w:rPr>
        <w:t xml:space="preserve"> загальної кількості виконавчих листі</w:t>
      </w:r>
      <w:r>
        <w:rPr>
          <w:b w:val="0"/>
          <w:noProof/>
          <w:sz w:val="24"/>
          <w:szCs w:val="24"/>
          <w:lang w:val="ru-RU"/>
        </w:rPr>
        <w:t xml:space="preserve">в, судом </w:t>
      </w:r>
      <w:r w:rsidR="00C61241">
        <w:rPr>
          <w:b w:val="0"/>
          <w:noProof/>
          <w:sz w:val="24"/>
          <w:szCs w:val="24"/>
          <w:lang w:val="ru-RU"/>
        </w:rPr>
        <w:t>видано 1804 виконавчі документи про стягнення на користь учасни</w:t>
      </w:r>
      <w:r w:rsidR="004E184F">
        <w:rPr>
          <w:b w:val="0"/>
          <w:noProof/>
          <w:sz w:val="24"/>
          <w:szCs w:val="24"/>
          <w:lang w:val="ru-RU"/>
        </w:rPr>
        <w:t xml:space="preserve">ків справи 966 462 103,00 грн. </w:t>
      </w:r>
      <w:r w:rsidR="00C61241">
        <w:rPr>
          <w:b w:val="0"/>
          <w:noProof/>
          <w:sz w:val="24"/>
          <w:szCs w:val="24"/>
          <w:lang w:val="ru-RU"/>
        </w:rPr>
        <w:t xml:space="preserve">Також судом видано 296 виконавчих листів </w:t>
      </w:r>
      <w:r w:rsidR="00855BD7">
        <w:rPr>
          <w:b w:val="0"/>
          <w:noProof/>
          <w:sz w:val="24"/>
          <w:szCs w:val="24"/>
          <w:lang w:val="ru-RU"/>
        </w:rPr>
        <w:t>про стягнення або відшкодування</w:t>
      </w:r>
      <w:r w:rsidR="00C61241">
        <w:rPr>
          <w:b w:val="0"/>
          <w:noProof/>
          <w:sz w:val="24"/>
          <w:szCs w:val="24"/>
          <w:lang w:val="ru-RU"/>
        </w:rPr>
        <w:t xml:space="preserve"> 4 467 367,00 грн. судового збору</w:t>
      </w:r>
      <w:r w:rsidR="004E184F">
        <w:rPr>
          <w:b w:val="0"/>
          <w:noProof/>
          <w:sz w:val="24"/>
          <w:szCs w:val="24"/>
          <w:lang w:val="ru-RU"/>
        </w:rPr>
        <w:t>.</w:t>
      </w:r>
    </w:p>
    <w:p w:rsidR="00855BD7" w:rsidRPr="00C61241" w:rsidRDefault="00855BD7" w:rsidP="00C61241">
      <w:pPr>
        <w:pStyle w:val="ac"/>
        <w:ind w:firstLine="708"/>
        <w:jc w:val="both"/>
        <w:rPr>
          <w:b w:val="0"/>
          <w:noProof/>
          <w:sz w:val="24"/>
          <w:szCs w:val="24"/>
          <w:lang w:val="ru-RU"/>
        </w:rPr>
      </w:pPr>
      <w:r>
        <w:rPr>
          <w:b w:val="0"/>
          <w:noProof/>
          <w:sz w:val="24"/>
          <w:szCs w:val="24"/>
          <w:lang w:val="ru-RU"/>
        </w:rPr>
        <w:lastRenderedPageBreak/>
        <w:t>Дані по</w:t>
      </w:r>
      <w:r w:rsidR="004E184F">
        <w:rPr>
          <w:b w:val="0"/>
          <w:noProof/>
          <w:sz w:val="24"/>
          <w:szCs w:val="24"/>
          <w:lang w:val="ru-RU"/>
        </w:rPr>
        <w:t xml:space="preserve"> сплаті судового</w:t>
      </w:r>
      <w:r>
        <w:rPr>
          <w:b w:val="0"/>
          <w:noProof/>
          <w:sz w:val="24"/>
          <w:szCs w:val="24"/>
          <w:lang w:val="ru-RU"/>
        </w:rPr>
        <w:t xml:space="preserve"> збору відображаються у звіті форми № 10, </w:t>
      </w:r>
      <w:r w:rsidR="004E184F">
        <w:rPr>
          <w:b w:val="0"/>
          <w:noProof/>
          <w:sz w:val="24"/>
          <w:szCs w:val="24"/>
          <w:lang w:val="ru-RU"/>
        </w:rPr>
        <w:t>у редакції затвердженій</w:t>
      </w:r>
      <w:r>
        <w:rPr>
          <w:b w:val="0"/>
          <w:noProof/>
          <w:sz w:val="24"/>
          <w:szCs w:val="24"/>
          <w:lang w:val="ru-RU"/>
        </w:rPr>
        <w:t xml:space="preserve"> наказом Державної суд</w:t>
      </w:r>
      <w:r w:rsidR="004E184F">
        <w:rPr>
          <w:b w:val="0"/>
          <w:noProof/>
          <w:sz w:val="24"/>
          <w:szCs w:val="24"/>
          <w:lang w:val="ru-RU"/>
        </w:rPr>
        <w:t>ової адмінітсрації України № 126 від 07.08.2015</w:t>
      </w:r>
      <w:r>
        <w:rPr>
          <w:b w:val="0"/>
          <w:noProof/>
          <w:sz w:val="24"/>
          <w:szCs w:val="24"/>
          <w:lang w:val="ru-RU"/>
        </w:rPr>
        <w:t>.</w:t>
      </w:r>
    </w:p>
    <w:p w:rsidR="00AB337B" w:rsidRDefault="00855BD7" w:rsidP="00AB337B">
      <w:pPr>
        <w:pStyle w:val="ac"/>
        <w:ind w:firstLine="708"/>
        <w:jc w:val="both"/>
        <w:rPr>
          <w:b w:val="0"/>
          <w:noProof/>
          <w:sz w:val="24"/>
          <w:szCs w:val="24"/>
        </w:rPr>
      </w:pPr>
      <w:r>
        <w:rPr>
          <w:b w:val="0"/>
          <w:noProof/>
          <w:sz w:val="24"/>
          <w:szCs w:val="24"/>
        </w:rPr>
        <w:t xml:space="preserve">Всього в 2017 році </w:t>
      </w:r>
      <w:r w:rsidR="00AB337B">
        <w:rPr>
          <w:b w:val="0"/>
          <w:noProof/>
          <w:sz w:val="24"/>
          <w:szCs w:val="24"/>
        </w:rPr>
        <w:t>судовий збір сплачено за подання 3163 позовних заяв та інших клопотань</w:t>
      </w:r>
      <w:r w:rsidR="006627D7">
        <w:rPr>
          <w:b w:val="0"/>
          <w:noProof/>
          <w:sz w:val="24"/>
          <w:szCs w:val="24"/>
        </w:rPr>
        <w:t xml:space="preserve"> на суму 19 143 233,00 грн.</w:t>
      </w:r>
      <w:r w:rsidR="004E184F">
        <w:rPr>
          <w:b w:val="0"/>
          <w:noProof/>
          <w:sz w:val="24"/>
          <w:szCs w:val="24"/>
        </w:rPr>
        <w:t>, що на 1 641 356,00 грн. менше</w:t>
      </w:r>
      <w:r w:rsidR="00AB337B">
        <w:rPr>
          <w:b w:val="0"/>
          <w:noProof/>
          <w:sz w:val="24"/>
          <w:szCs w:val="24"/>
        </w:rPr>
        <w:t xml:space="preserve"> порівняно із 2016 роком. Також за рішенн</w:t>
      </w:r>
      <w:r w:rsidR="00DC7A06">
        <w:rPr>
          <w:b w:val="0"/>
          <w:noProof/>
          <w:sz w:val="24"/>
          <w:szCs w:val="24"/>
        </w:rPr>
        <w:t xml:space="preserve">ям суду </w:t>
      </w:r>
      <w:r w:rsidR="00A9632A">
        <w:rPr>
          <w:b w:val="0"/>
          <w:noProof/>
          <w:sz w:val="24"/>
          <w:szCs w:val="24"/>
        </w:rPr>
        <w:t xml:space="preserve">в 5 справах </w:t>
      </w:r>
      <w:r w:rsidR="00AB337B">
        <w:rPr>
          <w:b w:val="0"/>
          <w:noProof/>
          <w:sz w:val="24"/>
          <w:szCs w:val="24"/>
        </w:rPr>
        <w:t xml:space="preserve">стягненно </w:t>
      </w:r>
      <w:r w:rsidR="00A9632A">
        <w:rPr>
          <w:b w:val="0"/>
          <w:noProof/>
          <w:sz w:val="24"/>
          <w:szCs w:val="24"/>
        </w:rPr>
        <w:t>судовий збір</w:t>
      </w:r>
      <w:r w:rsidR="006627D7">
        <w:rPr>
          <w:b w:val="0"/>
          <w:noProof/>
          <w:sz w:val="24"/>
          <w:szCs w:val="24"/>
        </w:rPr>
        <w:t xml:space="preserve"> на суму 1 149 348,00 грн.</w:t>
      </w:r>
      <w:r w:rsidR="00C83D1C">
        <w:rPr>
          <w:b w:val="0"/>
          <w:noProof/>
          <w:sz w:val="24"/>
          <w:szCs w:val="24"/>
        </w:rPr>
        <w:t>, що на 1 12</w:t>
      </w:r>
      <w:r w:rsidR="00DC7A06">
        <w:rPr>
          <w:b w:val="0"/>
          <w:noProof/>
          <w:sz w:val="24"/>
          <w:szCs w:val="24"/>
        </w:rPr>
        <w:t xml:space="preserve">0 800,00 грн. більше порівняно </w:t>
      </w:r>
      <w:r w:rsidR="00C83D1C">
        <w:rPr>
          <w:b w:val="0"/>
          <w:noProof/>
          <w:sz w:val="24"/>
          <w:szCs w:val="24"/>
        </w:rPr>
        <w:t>з 2016 роком</w:t>
      </w:r>
      <w:r w:rsidR="00AB337B">
        <w:rPr>
          <w:b w:val="0"/>
          <w:noProof/>
          <w:sz w:val="24"/>
          <w:szCs w:val="24"/>
        </w:rPr>
        <w:t>.</w:t>
      </w:r>
    </w:p>
    <w:p w:rsidR="00855BD7" w:rsidRDefault="006627D7" w:rsidP="00AB337B">
      <w:pPr>
        <w:pStyle w:val="ac"/>
        <w:ind w:firstLine="708"/>
        <w:jc w:val="both"/>
        <w:rPr>
          <w:b w:val="0"/>
          <w:noProof/>
          <w:sz w:val="24"/>
          <w:szCs w:val="24"/>
        </w:rPr>
      </w:pPr>
      <w:r>
        <w:rPr>
          <w:b w:val="0"/>
          <w:noProof/>
          <w:sz w:val="24"/>
          <w:szCs w:val="24"/>
        </w:rPr>
        <w:t xml:space="preserve">Загалом </w:t>
      </w:r>
      <w:r w:rsidR="00DC7A06">
        <w:rPr>
          <w:b w:val="0"/>
          <w:noProof/>
          <w:sz w:val="24"/>
          <w:szCs w:val="24"/>
        </w:rPr>
        <w:t>за розгляд справ і</w:t>
      </w:r>
      <w:r w:rsidR="00855BD7">
        <w:rPr>
          <w:b w:val="0"/>
          <w:noProof/>
          <w:sz w:val="24"/>
          <w:szCs w:val="24"/>
        </w:rPr>
        <w:t xml:space="preserve"> заяв сплачено 19</w:t>
      </w:r>
      <w:r w:rsidR="00AB337B">
        <w:rPr>
          <w:b w:val="0"/>
          <w:noProof/>
          <w:sz w:val="24"/>
          <w:szCs w:val="24"/>
        </w:rPr>
        <w:t> 143 233</w:t>
      </w:r>
      <w:r w:rsidR="00855BD7">
        <w:rPr>
          <w:b w:val="0"/>
          <w:noProof/>
          <w:sz w:val="24"/>
          <w:szCs w:val="24"/>
        </w:rPr>
        <w:t>,00 грн.</w:t>
      </w:r>
      <w:r>
        <w:rPr>
          <w:b w:val="0"/>
          <w:noProof/>
          <w:sz w:val="24"/>
          <w:szCs w:val="24"/>
        </w:rPr>
        <w:t xml:space="preserve"> судового збору</w:t>
      </w:r>
      <w:r w:rsidR="00DC7A06">
        <w:rPr>
          <w:b w:val="0"/>
          <w:noProof/>
          <w:sz w:val="24"/>
          <w:szCs w:val="24"/>
        </w:rPr>
        <w:t xml:space="preserve">, </w:t>
      </w:r>
      <w:r w:rsidR="00855BD7">
        <w:rPr>
          <w:b w:val="0"/>
          <w:noProof/>
          <w:sz w:val="24"/>
          <w:szCs w:val="24"/>
        </w:rPr>
        <w:t>з них:</w:t>
      </w:r>
    </w:p>
    <w:p w:rsidR="00AB337B" w:rsidRDefault="00855BD7" w:rsidP="00AB337B">
      <w:pPr>
        <w:pStyle w:val="ac"/>
        <w:numPr>
          <w:ilvl w:val="0"/>
          <w:numId w:val="3"/>
        </w:numPr>
        <w:jc w:val="both"/>
        <w:rPr>
          <w:b w:val="0"/>
          <w:noProof/>
          <w:sz w:val="24"/>
          <w:szCs w:val="24"/>
        </w:rPr>
      </w:pPr>
      <w:r>
        <w:rPr>
          <w:b w:val="0"/>
          <w:noProof/>
          <w:sz w:val="24"/>
          <w:szCs w:val="24"/>
        </w:rPr>
        <w:t xml:space="preserve">за подання позову майнового характеру </w:t>
      </w:r>
      <w:r w:rsidR="00AB337B">
        <w:rPr>
          <w:b w:val="0"/>
          <w:noProof/>
          <w:sz w:val="24"/>
          <w:szCs w:val="24"/>
        </w:rPr>
        <w:t>15 826 626,00 грн.;</w:t>
      </w:r>
    </w:p>
    <w:p w:rsidR="00AB337B" w:rsidRDefault="00AB337B" w:rsidP="00AB337B">
      <w:pPr>
        <w:pStyle w:val="ac"/>
        <w:numPr>
          <w:ilvl w:val="0"/>
          <w:numId w:val="3"/>
        </w:numPr>
        <w:jc w:val="both"/>
        <w:rPr>
          <w:b w:val="0"/>
          <w:noProof/>
          <w:sz w:val="24"/>
          <w:szCs w:val="24"/>
        </w:rPr>
      </w:pPr>
      <w:r>
        <w:rPr>
          <w:b w:val="0"/>
          <w:noProof/>
          <w:sz w:val="24"/>
          <w:szCs w:val="24"/>
        </w:rPr>
        <w:t>за подання позову немайнвого характеру 3 250 755,00 грн.;</w:t>
      </w:r>
    </w:p>
    <w:p w:rsidR="00AB337B" w:rsidRDefault="00AB337B" w:rsidP="00AB337B">
      <w:pPr>
        <w:pStyle w:val="ac"/>
        <w:numPr>
          <w:ilvl w:val="0"/>
          <w:numId w:val="3"/>
        </w:numPr>
        <w:jc w:val="both"/>
        <w:rPr>
          <w:b w:val="0"/>
          <w:noProof/>
          <w:sz w:val="24"/>
          <w:szCs w:val="24"/>
        </w:rPr>
      </w:pPr>
      <w:r>
        <w:rPr>
          <w:b w:val="0"/>
          <w:noProof/>
          <w:sz w:val="24"/>
          <w:szCs w:val="24"/>
        </w:rPr>
        <w:t>за подання заяви про перегляд рішення за нововиявленими обставинами – 20 664,00 грн.;</w:t>
      </w:r>
    </w:p>
    <w:p w:rsidR="00AB337B" w:rsidRDefault="00AB337B" w:rsidP="00AB337B">
      <w:pPr>
        <w:pStyle w:val="ac"/>
        <w:numPr>
          <w:ilvl w:val="0"/>
          <w:numId w:val="3"/>
        </w:numPr>
        <w:jc w:val="both"/>
        <w:rPr>
          <w:b w:val="0"/>
          <w:noProof/>
          <w:sz w:val="24"/>
          <w:szCs w:val="24"/>
        </w:rPr>
      </w:pPr>
      <w:r>
        <w:rPr>
          <w:b w:val="0"/>
          <w:noProof/>
          <w:sz w:val="24"/>
          <w:szCs w:val="24"/>
        </w:rPr>
        <w:t>за подання заяви про забезпечення позову або доказів, заяви про зміну чи встановлення способу і порядку виконання судового рішення – 37 904,00 грн.;</w:t>
      </w:r>
    </w:p>
    <w:p w:rsidR="00C61241" w:rsidRDefault="00AB337B" w:rsidP="00AB337B">
      <w:pPr>
        <w:pStyle w:val="ac"/>
        <w:numPr>
          <w:ilvl w:val="0"/>
          <w:numId w:val="3"/>
        </w:numPr>
        <w:jc w:val="both"/>
        <w:rPr>
          <w:b w:val="0"/>
          <w:noProof/>
          <w:sz w:val="24"/>
          <w:szCs w:val="24"/>
        </w:rPr>
      </w:pPr>
      <w:r>
        <w:rPr>
          <w:b w:val="0"/>
          <w:noProof/>
          <w:sz w:val="24"/>
          <w:szCs w:val="24"/>
        </w:rPr>
        <w:t>за видачу судом документів – 7 284,00 грн.</w:t>
      </w:r>
      <w:r w:rsidR="00855BD7">
        <w:rPr>
          <w:b w:val="0"/>
          <w:noProof/>
          <w:sz w:val="24"/>
          <w:szCs w:val="24"/>
        </w:rPr>
        <w:t xml:space="preserve"> </w:t>
      </w:r>
    </w:p>
    <w:p w:rsidR="006627D7" w:rsidRDefault="006627D7" w:rsidP="006627D7">
      <w:pPr>
        <w:pStyle w:val="ac"/>
        <w:ind w:firstLine="360"/>
        <w:jc w:val="both"/>
        <w:rPr>
          <w:b w:val="0"/>
          <w:noProof/>
          <w:sz w:val="24"/>
          <w:szCs w:val="24"/>
        </w:rPr>
      </w:pPr>
      <w:r>
        <w:rPr>
          <w:b w:val="0"/>
          <w:noProof/>
          <w:sz w:val="24"/>
          <w:szCs w:val="24"/>
        </w:rPr>
        <w:t>Статтями 5 та 8 Закону України «Про судовий збір» передбачено певним учасникам справи пільги зі сплати судового збору. Загалом</w:t>
      </w:r>
      <w:r w:rsidR="00A9632A">
        <w:rPr>
          <w:b w:val="0"/>
          <w:noProof/>
          <w:sz w:val="24"/>
          <w:szCs w:val="24"/>
        </w:rPr>
        <w:t>,</w:t>
      </w:r>
      <w:r>
        <w:rPr>
          <w:b w:val="0"/>
          <w:noProof/>
          <w:sz w:val="24"/>
          <w:szCs w:val="24"/>
        </w:rPr>
        <w:t xml:space="preserve"> у 2017 році пільгами скориста</w:t>
      </w:r>
      <w:r w:rsidR="00A9632A">
        <w:rPr>
          <w:b w:val="0"/>
          <w:noProof/>
          <w:sz w:val="24"/>
          <w:szCs w:val="24"/>
        </w:rPr>
        <w:t>ли</w:t>
      </w:r>
      <w:r w:rsidR="00C83D1C">
        <w:rPr>
          <w:b w:val="0"/>
          <w:noProof/>
          <w:sz w:val="24"/>
          <w:szCs w:val="24"/>
        </w:rPr>
        <w:t>ся 1622 заявники, що</w:t>
      </w:r>
      <w:r w:rsidR="00A9632A">
        <w:rPr>
          <w:b w:val="0"/>
          <w:noProof/>
          <w:sz w:val="24"/>
          <w:szCs w:val="24"/>
        </w:rPr>
        <w:t xml:space="preserve"> на 73 %</w:t>
      </w:r>
      <w:r w:rsidR="00C83D1C">
        <w:rPr>
          <w:b w:val="0"/>
          <w:noProof/>
          <w:sz w:val="24"/>
          <w:szCs w:val="24"/>
        </w:rPr>
        <w:t xml:space="preserve"> більше</w:t>
      </w:r>
      <w:r>
        <w:rPr>
          <w:b w:val="0"/>
          <w:noProof/>
          <w:sz w:val="24"/>
          <w:szCs w:val="24"/>
        </w:rPr>
        <w:t xml:space="preserve"> порівняно із 2016 роком</w:t>
      </w:r>
      <w:r w:rsidR="00C83D1C">
        <w:rPr>
          <w:b w:val="0"/>
          <w:noProof/>
          <w:sz w:val="24"/>
          <w:szCs w:val="24"/>
        </w:rPr>
        <w:t xml:space="preserve"> (438).</w:t>
      </w:r>
    </w:p>
    <w:p w:rsidR="006627D7" w:rsidRDefault="00C83D1C" w:rsidP="006627D7">
      <w:pPr>
        <w:pStyle w:val="ac"/>
        <w:ind w:firstLine="360"/>
        <w:jc w:val="both"/>
        <w:rPr>
          <w:b w:val="0"/>
          <w:noProof/>
          <w:sz w:val="24"/>
          <w:szCs w:val="24"/>
        </w:rPr>
      </w:pPr>
      <w:r>
        <w:rPr>
          <w:b w:val="0"/>
          <w:noProof/>
          <w:sz w:val="24"/>
          <w:szCs w:val="24"/>
        </w:rPr>
        <w:t>У таблиці № 2 наведено перелік категорій осіб, які скористалися п</w:t>
      </w:r>
      <w:r w:rsidR="009F0485">
        <w:rPr>
          <w:b w:val="0"/>
          <w:noProof/>
          <w:sz w:val="24"/>
          <w:szCs w:val="24"/>
        </w:rPr>
        <w:t>ільгами із сп</w:t>
      </w:r>
      <w:r>
        <w:rPr>
          <w:b w:val="0"/>
          <w:noProof/>
          <w:sz w:val="24"/>
          <w:szCs w:val="24"/>
        </w:rPr>
        <w:t>лати судового збору у звітному періоді.</w:t>
      </w:r>
    </w:p>
    <w:p w:rsidR="00C83D1C" w:rsidRDefault="00C83D1C" w:rsidP="00C83D1C">
      <w:pPr>
        <w:pStyle w:val="ac"/>
        <w:ind w:firstLine="360"/>
        <w:jc w:val="right"/>
        <w:rPr>
          <w:b w:val="0"/>
          <w:noProof/>
          <w:sz w:val="24"/>
          <w:szCs w:val="24"/>
        </w:rPr>
      </w:pPr>
      <w:r>
        <w:rPr>
          <w:b w:val="0"/>
          <w:noProof/>
          <w:sz w:val="24"/>
          <w:szCs w:val="24"/>
        </w:rPr>
        <w:t>Таблиця № 2</w:t>
      </w:r>
    </w:p>
    <w:tbl>
      <w:tblPr>
        <w:tblStyle w:val="a8"/>
        <w:tblW w:w="10173" w:type="dxa"/>
        <w:tblLook w:val="04A0" w:firstRow="1" w:lastRow="0" w:firstColumn="1" w:lastColumn="0" w:noHBand="0" w:noVBand="1"/>
      </w:tblPr>
      <w:tblGrid>
        <w:gridCol w:w="817"/>
        <w:gridCol w:w="6474"/>
        <w:gridCol w:w="1187"/>
        <w:gridCol w:w="1695"/>
      </w:tblGrid>
      <w:tr w:rsidR="00B05304" w:rsidRPr="00B05304" w:rsidTr="00B05304">
        <w:trPr>
          <w:trHeight w:val="405"/>
        </w:trPr>
        <w:tc>
          <w:tcPr>
            <w:tcW w:w="817" w:type="dxa"/>
            <w:noWrap/>
          </w:tcPr>
          <w:p w:rsidR="00B05304" w:rsidRPr="00DC7A06" w:rsidRDefault="00B05304" w:rsidP="00B05304">
            <w:pPr>
              <w:pStyle w:val="ac"/>
              <w:ind w:firstLine="142"/>
              <w:rPr>
                <w:noProof/>
                <w:sz w:val="22"/>
                <w:szCs w:val="22"/>
              </w:rPr>
            </w:pPr>
            <w:r w:rsidRPr="00DC7A06">
              <w:rPr>
                <w:noProof/>
                <w:sz w:val="22"/>
                <w:szCs w:val="22"/>
              </w:rPr>
              <w:t>№ п/п</w:t>
            </w:r>
          </w:p>
        </w:tc>
        <w:tc>
          <w:tcPr>
            <w:tcW w:w="6521" w:type="dxa"/>
          </w:tcPr>
          <w:p w:rsidR="00B05304" w:rsidRPr="00DC7A06" w:rsidRDefault="00891C88" w:rsidP="00891C88">
            <w:pPr>
              <w:pStyle w:val="ac"/>
              <w:rPr>
                <w:noProof/>
                <w:sz w:val="22"/>
                <w:szCs w:val="22"/>
              </w:rPr>
            </w:pPr>
            <w:r w:rsidRPr="00DC7A06">
              <w:rPr>
                <w:noProof/>
                <w:sz w:val="22"/>
                <w:szCs w:val="22"/>
              </w:rPr>
              <w:t>Категрія осіб, що скористалися пільгами</w:t>
            </w:r>
          </w:p>
        </w:tc>
        <w:tc>
          <w:tcPr>
            <w:tcW w:w="1134" w:type="dxa"/>
          </w:tcPr>
          <w:p w:rsidR="00B05304" w:rsidRPr="00DC7A06" w:rsidRDefault="00891C88" w:rsidP="00891C88">
            <w:pPr>
              <w:pStyle w:val="ac"/>
              <w:rPr>
                <w:noProof/>
                <w:sz w:val="22"/>
                <w:szCs w:val="22"/>
              </w:rPr>
            </w:pPr>
            <w:r w:rsidRPr="00DC7A06">
              <w:rPr>
                <w:noProof/>
                <w:sz w:val="22"/>
                <w:szCs w:val="22"/>
              </w:rPr>
              <w:t>Кількість осіб</w:t>
            </w:r>
          </w:p>
        </w:tc>
        <w:tc>
          <w:tcPr>
            <w:tcW w:w="1701" w:type="dxa"/>
          </w:tcPr>
          <w:p w:rsidR="00B05304" w:rsidRPr="00DC7A06" w:rsidRDefault="00891C88" w:rsidP="00891C88">
            <w:pPr>
              <w:pStyle w:val="ac"/>
              <w:ind w:firstLine="28"/>
              <w:rPr>
                <w:noProof/>
                <w:sz w:val="22"/>
                <w:szCs w:val="22"/>
              </w:rPr>
            </w:pPr>
            <w:r w:rsidRPr="00DC7A06">
              <w:rPr>
                <w:noProof/>
                <w:sz w:val="22"/>
                <w:szCs w:val="22"/>
              </w:rPr>
              <w:t>Сума судового збору, грн.</w:t>
            </w:r>
          </w:p>
        </w:tc>
      </w:tr>
      <w:tr w:rsidR="00B05304" w:rsidRPr="00B05304" w:rsidTr="00B05304">
        <w:trPr>
          <w:trHeight w:val="405"/>
        </w:trPr>
        <w:tc>
          <w:tcPr>
            <w:tcW w:w="817" w:type="dxa"/>
            <w:noWrap/>
          </w:tcPr>
          <w:p w:rsidR="00B05304" w:rsidRPr="00DC7A06" w:rsidRDefault="00B05304" w:rsidP="00B05304">
            <w:pPr>
              <w:pStyle w:val="ac"/>
              <w:ind w:firstLine="142"/>
              <w:rPr>
                <w:b w:val="0"/>
                <w:noProof/>
                <w:sz w:val="22"/>
                <w:szCs w:val="22"/>
              </w:rPr>
            </w:pPr>
            <w:r w:rsidRPr="00DC7A06">
              <w:rPr>
                <w:b w:val="0"/>
                <w:noProof/>
                <w:sz w:val="22"/>
                <w:szCs w:val="22"/>
              </w:rPr>
              <w:t>1</w:t>
            </w:r>
          </w:p>
        </w:tc>
        <w:tc>
          <w:tcPr>
            <w:tcW w:w="6521" w:type="dxa"/>
            <w:hideMark/>
          </w:tcPr>
          <w:p w:rsidR="00B05304" w:rsidRPr="00DC7A06" w:rsidRDefault="00B05304" w:rsidP="00891C88">
            <w:pPr>
              <w:pStyle w:val="ac"/>
              <w:jc w:val="both"/>
              <w:rPr>
                <w:b w:val="0"/>
                <w:noProof/>
                <w:sz w:val="22"/>
                <w:szCs w:val="22"/>
              </w:rPr>
            </w:pPr>
            <w:r w:rsidRPr="00DC7A06">
              <w:rPr>
                <w:b w:val="0"/>
                <w:noProof/>
                <w:sz w:val="22"/>
                <w:szCs w:val="22"/>
              </w:rPr>
              <w:t>позивачі - у справах про стягнення заробітної плати та поновлення на роботі</w:t>
            </w:r>
          </w:p>
        </w:tc>
        <w:tc>
          <w:tcPr>
            <w:tcW w:w="1134" w:type="dxa"/>
            <w:hideMark/>
          </w:tcPr>
          <w:p w:rsidR="00B05304" w:rsidRPr="00DC7A06" w:rsidRDefault="00B05304" w:rsidP="00891C88">
            <w:pPr>
              <w:pStyle w:val="ac"/>
              <w:rPr>
                <w:b w:val="0"/>
                <w:noProof/>
                <w:sz w:val="22"/>
                <w:szCs w:val="22"/>
              </w:rPr>
            </w:pPr>
            <w:r w:rsidRPr="00DC7A06">
              <w:rPr>
                <w:b w:val="0"/>
                <w:noProof/>
                <w:sz w:val="22"/>
                <w:szCs w:val="22"/>
              </w:rPr>
              <w:t>213</w:t>
            </w:r>
          </w:p>
        </w:tc>
        <w:tc>
          <w:tcPr>
            <w:tcW w:w="1701" w:type="dxa"/>
            <w:hideMark/>
          </w:tcPr>
          <w:p w:rsidR="00B05304" w:rsidRPr="00DC7A06" w:rsidRDefault="00B05304" w:rsidP="00891C88">
            <w:pPr>
              <w:pStyle w:val="ac"/>
              <w:ind w:firstLine="28"/>
              <w:rPr>
                <w:b w:val="0"/>
                <w:noProof/>
                <w:sz w:val="22"/>
                <w:szCs w:val="22"/>
              </w:rPr>
            </w:pPr>
            <w:r w:rsidRPr="00DC7A06">
              <w:rPr>
                <w:b w:val="0"/>
                <w:noProof/>
                <w:sz w:val="22"/>
                <w:szCs w:val="22"/>
              </w:rPr>
              <w:t>143 795</w:t>
            </w:r>
          </w:p>
        </w:tc>
      </w:tr>
      <w:tr w:rsidR="00B05304" w:rsidRPr="00B05304" w:rsidTr="00B05304">
        <w:trPr>
          <w:trHeight w:val="480"/>
        </w:trPr>
        <w:tc>
          <w:tcPr>
            <w:tcW w:w="817" w:type="dxa"/>
            <w:noWrap/>
          </w:tcPr>
          <w:p w:rsidR="00B05304" w:rsidRPr="00DC7A06" w:rsidRDefault="00B05304" w:rsidP="00B05304">
            <w:pPr>
              <w:pStyle w:val="ac"/>
              <w:ind w:firstLine="142"/>
              <w:rPr>
                <w:b w:val="0"/>
                <w:noProof/>
                <w:sz w:val="22"/>
                <w:szCs w:val="22"/>
              </w:rPr>
            </w:pPr>
            <w:r w:rsidRPr="00DC7A06">
              <w:rPr>
                <w:b w:val="0"/>
                <w:noProof/>
                <w:sz w:val="22"/>
                <w:szCs w:val="22"/>
              </w:rPr>
              <w:t>2</w:t>
            </w:r>
          </w:p>
        </w:tc>
        <w:tc>
          <w:tcPr>
            <w:tcW w:w="6521" w:type="dxa"/>
            <w:hideMark/>
          </w:tcPr>
          <w:p w:rsidR="00B05304" w:rsidRPr="00DC7A06" w:rsidRDefault="00B05304" w:rsidP="00891C88">
            <w:pPr>
              <w:pStyle w:val="ac"/>
              <w:jc w:val="both"/>
              <w:rPr>
                <w:b w:val="0"/>
                <w:noProof/>
                <w:sz w:val="22"/>
                <w:szCs w:val="22"/>
              </w:rPr>
            </w:pPr>
            <w:r w:rsidRPr="00DC7A06">
              <w:rPr>
                <w:b w:val="0"/>
                <w:noProof/>
                <w:sz w:val="22"/>
                <w:szCs w:val="22"/>
              </w:rPr>
              <w:t>позивачі - у справах про відшкодування шкоди, заподіяної каліцтвом або іншим ушкодженням здоров</w:t>
            </w:r>
            <w:r w:rsidR="00891C88" w:rsidRPr="00DC7A06">
              <w:rPr>
                <w:b w:val="0"/>
                <w:noProof/>
                <w:sz w:val="22"/>
                <w:szCs w:val="22"/>
              </w:rPr>
              <w:t>’</w:t>
            </w:r>
            <w:r w:rsidRPr="00DC7A06">
              <w:rPr>
                <w:b w:val="0"/>
                <w:noProof/>
                <w:sz w:val="22"/>
                <w:szCs w:val="22"/>
              </w:rPr>
              <w:t>я, а також смертю фізичної особи</w:t>
            </w:r>
          </w:p>
        </w:tc>
        <w:tc>
          <w:tcPr>
            <w:tcW w:w="1134" w:type="dxa"/>
            <w:hideMark/>
          </w:tcPr>
          <w:p w:rsidR="00B05304" w:rsidRPr="00DC7A06" w:rsidRDefault="00B05304" w:rsidP="00891C88">
            <w:pPr>
              <w:pStyle w:val="ac"/>
              <w:rPr>
                <w:b w:val="0"/>
                <w:noProof/>
                <w:sz w:val="22"/>
                <w:szCs w:val="22"/>
              </w:rPr>
            </w:pPr>
            <w:r w:rsidRPr="00DC7A06">
              <w:rPr>
                <w:b w:val="0"/>
                <w:noProof/>
                <w:sz w:val="22"/>
                <w:szCs w:val="22"/>
              </w:rPr>
              <w:t>1</w:t>
            </w:r>
          </w:p>
        </w:tc>
        <w:tc>
          <w:tcPr>
            <w:tcW w:w="1701" w:type="dxa"/>
            <w:hideMark/>
          </w:tcPr>
          <w:p w:rsidR="00B05304" w:rsidRPr="00DC7A06" w:rsidRDefault="00B05304" w:rsidP="00891C88">
            <w:pPr>
              <w:pStyle w:val="ac"/>
              <w:ind w:firstLine="28"/>
              <w:rPr>
                <w:b w:val="0"/>
                <w:noProof/>
                <w:sz w:val="22"/>
                <w:szCs w:val="22"/>
              </w:rPr>
            </w:pPr>
            <w:r w:rsidRPr="00DC7A06">
              <w:rPr>
                <w:b w:val="0"/>
                <w:noProof/>
                <w:sz w:val="22"/>
                <w:szCs w:val="22"/>
              </w:rPr>
              <w:t>8 000</w:t>
            </w:r>
          </w:p>
        </w:tc>
      </w:tr>
      <w:tr w:rsidR="00B05304" w:rsidRPr="00B05304" w:rsidTr="00B05304">
        <w:trPr>
          <w:trHeight w:val="600"/>
        </w:trPr>
        <w:tc>
          <w:tcPr>
            <w:tcW w:w="817" w:type="dxa"/>
            <w:noWrap/>
          </w:tcPr>
          <w:p w:rsidR="00B05304" w:rsidRPr="00DC7A06" w:rsidRDefault="00B05304" w:rsidP="00B05304">
            <w:pPr>
              <w:pStyle w:val="ac"/>
              <w:ind w:firstLine="142"/>
              <w:rPr>
                <w:b w:val="0"/>
                <w:noProof/>
                <w:sz w:val="22"/>
                <w:szCs w:val="22"/>
              </w:rPr>
            </w:pPr>
            <w:r w:rsidRPr="00DC7A06">
              <w:rPr>
                <w:b w:val="0"/>
                <w:noProof/>
                <w:sz w:val="22"/>
                <w:szCs w:val="22"/>
              </w:rPr>
              <w:t>3</w:t>
            </w:r>
          </w:p>
        </w:tc>
        <w:tc>
          <w:tcPr>
            <w:tcW w:w="6521" w:type="dxa"/>
            <w:hideMark/>
          </w:tcPr>
          <w:p w:rsidR="00B05304" w:rsidRPr="00DC7A06" w:rsidRDefault="00B05304" w:rsidP="00891C88">
            <w:pPr>
              <w:pStyle w:val="ac"/>
              <w:jc w:val="both"/>
              <w:rPr>
                <w:b w:val="0"/>
                <w:noProof/>
                <w:sz w:val="22"/>
                <w:szCs w:val="22"/>
              </w:rPr>
            </w:pPr>
            <w:r w:rsidRPr="00DC7A06">
              <w:rPr>
                <w:b w:val="0"/>
                <w:noProof/>
                <w:sz w:val="22"/>
                <w:szCs w:val="22"/>
              </w:rPr>
              <w:t>особи, які страждають на психічні розлади, та їх представники - у справах щодо спорів, пов</w:t>
            </w:r>
            <w:r w:rsidR="00891C88" w:rsidRPr="00DC7A06">
              <w:rPr>
                <w:b w:val="0"/>
                <w:noProof/>
                <w:sz w:val="22"/>
                <w:szCs w:val="22"/>
              </w:rPr>
              <w:t>’</w:t>
            </w:r>
            <w:r w:rsidRPr="00DC7A06">
              <w:rPr>
                <w:b w:val="0"/>
                <w:noProof/>
                <w:sz w:val="22"/>
                <w:szCs w:val="22"/>
              </w:rPr>
              <w:t>язаних з розглядом питань стосовно захисту прав і законних інтересів особи під час надання психіатричної допомоги</w:t>
            </w:r>
          </w:p>
        </w:tc>
        <w:tc>
          <w:tcPr>
            <w:tcW w:w="1134" w:type="dxa"/>
            <w:hideMark/>
          </w:tcPr>
          <w:p w:rsidR="00B05304" w:rsidRPr="00DC7A06" w:rsidRDefault="00B05304" w:rsidP="00891C88">
            <w:pPr>
              <w:pStyle w:val="ac"/>
              <w:rPr>
                <w:b w:val="0"/>
                <w:noProof/>
                <w:sz w:val="22"/>
                <w:szCs w:val="22"/>
              </w:rPr>
            </w:pPr>
            <w:r w:rsidRPr="00DC7A06">
              <w:rPr>
                <w:b w:val="0"/>
                <w:noProof/>
                <w:sz w:val="22"/>
                <w:szCs w:val="22"/>
              </w:rPr>
              <w:t>1</w:t>
            </w:r>
          </w:p>
        </w:tc>
        <w:tc>
          <w:tcPr>
            <w:tcW w:w="1701" w:type="dxa"/>
            <w:hideMark/>
          </w:tcPr>
          <w:p w:rsidR="00B05304" w:rsidRPr="00DC7A06" w:rsidRDefault="00B05304" w:rsidP="00891C88">
            <w:pPr>
              <w:pStyle w:val="ac"/>
              <w:ind w:firstLine="28"/>
              <w:rPr>
                <w:b w:val="0"/>
                <w:noProof/>
                <w:sz w:val="22"/>
                <w:szCs w:val="22"/>
              </w:rPr>
            </w:pPr>
            <w:r w:rsidRPr="00DC7A06">
              <w:rPr>
                <w:b w:val="0"/>
                <w:noProof/>
                <w:sz w:val="22"/>
                <w:szCs w:val="22"/>
              </w:rPr>
              <w:t>2 816</w:t>
            </w:r>
          </w:p>
        </w:tc>
      </w:tr>
      <w:tr w:rsidR="00B05304" w:rsidRPr="00B05304" w:rsidTr="00B05304">
        <w:trPr>
          <w:trHeight w:val="405"/>
        </w:trPr>
        <w:tc>
          <w:tcPr>
            <w:tcW w:w="817" w:type="dxa"/>
            <w:noWrap/>
          </w:tcPr>
          <w:p w:rsidR="00B05304" w:rsidRPr="00DC7A06" w:rsidRDefault="00B05304" w:rsidP="00B05304">
            <w:pPr>
              <w:pStyle w:val="ac"/>
              <w:ind w:firstLine="142"/>
              <w:rPr>
                <w:b w:val="0"/>
                <w:noProof/>
                <w:sz w:val="22"/>
                <w:szCs w:val="22"/>
              </w:rPr>
            </w:pPr>
            <w:r w:rsidRPr="00DC7A06">
              <w:rPr>
                <w:b w:val="0"/>
                <w:noProof/>
                <w:sz w:val="22"/>
                <w:szCs w:val="22"/>
              </w:rPr>
              <w:t>4</w:t>
            </w:r>
          </w:p>
        </w:tc>
        <w:tc>
          <w:tcPr>
            <w:tcW w:w="6521" w:type="dxa"/>
            <w:hideMark/>
          </w:tcPr>
          <w:p w:rsidR="00B05304" w:rsidRPr="00DC7A06" w:rsidRDefault="00B05304" w:rsidP="00891C88">
            <w:pPr>
              <w:pStyle w:val="ac"/>
              <w:jc w:val="both"/>
              <w:rPr>
                <w:b w:val="0"/>
                <w:noProof/>
                <w:sz w:val="22"/>
                <w:szCs w:val="22"/>
              </w:rPr>
            </w:pPr>
            <w:r w:rsidRPr="00DC7A06">
              <w:rPr>
                <w:b w:val="0"/>
                <w:noProof/>
                <w:sz w:val="22"/>
                <w:szCs w:val="22"/>
              </w:rPr>
              <w:t>громадяни, які у випадках, передбачених законодавством, звернулися із заявами до суду щодо захисту прав та інтересів інших осіб</w:t>
            </w:r>
          </w:p>
        </w:tc>
        <w:tc>
          <w:tcPr>
            <w:tcW w:w="1134" w:type="dxa"/>
            <w:hideMark/>
          </w:tcPr>
          <w:p w:rsidR="00B05304" w:rsidRPr="00DC7A06" w:rsidRDefault="00B05304" w:rsidP="00891C88">
            <w:pPr>
              <w:pStyle w:val="ac"/>
              <w:rPr>
                <w:b w:val="0"/>
                <w:noProof/>
                <w:sz w:val="22"/>
                <w:szCs w:val="22"/>
              </w:rPr>
            </w:pPr>
            <w:r w:rsidRPr="00DC7A06">
              <w:rPr>
                <w:b w:val="0"/>
                <w:noProof/>
                <w:sz w:val="22"/>
                <w:szCs w:val="22"/>
              </w:rPr>
              <w:t>8</w:t>
            </w:r>
          </w:p>
        </w:tc>
        <w:tc>
          <w:tcPr>
            <w:tcW w:w="1701" w:type="dxa"/>
            <w:hideMark/>
          </w:tcPr>
          <w:p w:rsidR="00B05304" w:rsidRPr="00DC7A06" w:rsidRDefault="00B05304" w:rsidP="00891C88">
            <w:pPr>
              <w:pStyle w:val="ac"/>
              <w:ind w:firstLine="28"/>
              <w:rPr>
                <w:b w:val="0"/>
                <w:noProof/>
                <w:sz w:val="22"/>
                <w:szCs w:val="22"/>
              </w:rPr>
            </w:pPr>
            <w:r w:rsidRPr="00DC7A06">
              <w:rPr>
                <w:b w:val="0"/>
                <w:noProof/>
                <w:sz w:val="22"/>
                <w:szCs w:val="22"/>
              </w:rPr>
              <w:t>5 120</w:t>
            </w:r>
          </w:p>
        </w:tc>
      </w:tr>
      <w:tr w:rsidR="00B05304" w:rsidRPr="00B05304" w:rsidTr="00B05304">
        <w:trPr>
          <w:trHeight w:val="615"/>
        </w:trPr>
        <w:tc>
          <w:tcPr>
            <w:tcW w:w="817" w:type="dxa"/>
            <w:noWrap/>
          </w:tcPr>
          <w:p w:rsidR="00B05304" w:rsidRPr="00DC7A06" w:rsidRDefault="00B05304" w:rsidP="00B05304">
            <w:pPr>
              <w:pStyle w:val="ac"/>
              <w:ind w:firstLine="142"/>
              <w:rPr>
                <w:b w:val="0"/>
                <w:noProof/>
                <w:sz w:val="22"/>
                <w:szCs w:val="22"/>
              </w:rPr>
            </w:pPr>
            <w:r w:rsidRPr="00DC7A06">
              <w:rPr>
                <w:b w:val="0"/>
                <w:noProof/>
                <w:sz w:val="22"/>
                <w:szCs w:val="22"/>
              </w:rPr>
              <w:t>5</w:t>
            </w:r>
          </w:p>
        </w:tc>
        <w:tc>
          <w:tcPr>
            <w:tcW w:w="6521" w:type="dxa"/>
            <w:hideMark/>
          </w:tcPr>
          <w:p w:rsidR="00B05304" w:rsidRPr="00DC7A06" w:rsidRDefault="00B05304" w:rsidP="00891C88">
            <w:pPr>
              <w:pStyle w:val="ac"/>
              <w:jc w:val="both"/>
              <w:rPr>
                <w:b w:val="0"/>
                <w:noProof/>
                <w:sz w:val="22"/>
                <w:szCs w:val="22"/>
              </w:rPr>
            </w:pPr>
            <w:r w:rsidRPr="00DC7A06">
              <w:rPr>
                <w:b w:val="0"/>
                <w:noProof/>
                <w:sz w:val="22"/>
                <w:szCs w:val="22"/>
              </w:rPr>
              <w:t>інваліди Великої Вітчизняної війни та сім</w:t>
            </w:r>
            <w:r w:rsidR="00891C88" w:rsidRPr="00DC7A06">
              <w:rPr>
                <w:b w:val="0"/>
                <w:noProof/>
                <w:sz w:val="22"/>
                <w:szCs w:val="22"/>
              </w:rPr>
              <w:t>’</w:t>
            </w:r>
            <w:r w:rsidRPr="00DC7A06">
              <w:rPr>
                <w:b w:val="0"/>
                <w:noProof/>
                <w:sz w:val="22"/>
                <w:szCs w:val="22"/>
              </w:rPr>
              <w:t>ї воїнів (партизанів), які загинули чи пропали безвісти, і прирівняні до них у встановленому порядку особи</w:t>
            </w:r>
          </w:p>
        </w:tc>
        <w:tc>
          <w:tcPr>
            <w:tcW w:w="1134" w:type="dxa"/>
            <w:hideMark/>
          </w:tcPr>
          <w:p w:rsidR="00B05304" w:rsidRPr="00DC7A06" w:rsidRDefault="00B05304" w:rsidP="00891C88">
            <w:pPr>
              <w:pStyle w:val="ac"/>
              <w:rPr>
                <w:b w:val="0"/>
                <w:noProof/>
                <w:sz w:val="22"/>
                <w:szCs w:val="22"/>
              </w:rPr>
            </w:pPr>
            <w:r w:rsidRPr="00DC7A06">
              <w:rPr>
                <w:b w:val="0"/>
                <w:noProof/>
                <w:sz w:val="22"/>
                <w:szCs w:val="22"/>
              </w:rPr>
              <w:t>5</w:t>
            </w:r>
          </w:p>
        </w:tc>
        <w:tc>
          <w:tcPr>
            <w:tcW w:w="1701" w:type="dxa"/>
            <w:hideMark/>
          </w:tcPr>
          <w:p w:rsidR="00B05304" w:rsidRPr="00DC7A06" w:rsidRDefault="00B05304" w:rsidP="00891C88">
            <w:pPr>
              <w:pStyle w:val="ac"/>
              <w:ind w:firstLine="28"/>
              <w:rPr>
                <w:b w:val="0"/>
                <w:noProof/>
                <w:sz w:val="22"/>
                <w:szCs w:val="22"/>
              </w:rPr>
            </w:pPr>
            <w:r w:rsidRPr="00DC7A06">
              <w:rPr>
                <w:b w:val="0"/>
                <w:noProof/>
                <w:sz w:val="22"/>
                <w:szCs w:val="22"/>
              </w:rPr>
              <w:t>10 560</w:t>
            </w:r>
          </w:p>
        </w:tc>
      </w:tr>
      <w:tr w:rsidR="00B05304" w:rsidRPr="00B05304" w:rsidTr="00B05304">
        <w:trPr>
          <w:trHeight w:val="360"/>
        </w:trPr>
        <w:tc>
          <w:tcPr>
            <w:tcW w:w="817" w:type="dxa"/>
            <w:noWrap/>
          </w:tcPr>
          <w:p w:rsidR="00B05304" w:rsidRPr="00DC7A06" w:rsidRDefault="00B05304" w:rsidP="00B05304">
            <w:pPr>
              <w:pStyle w:val="ac"/>
              <w:ind w:firstLine="142"/>
              <w:rPr>
                <w:b w:val="0"/>
                <w:noProof/>
                <w:sz w:val="22"/>
                <w:szCs w:val="22"/>
              </w:rPr>
            </w:pPr>
            <w:r w:rsidRPr="00DC7A06">
              <w:rPr>
                <w:b w:val="0"/>
                <w:noProof/>
                <w:sz w:val="22"/>
                <w:szCs w:val="22"/>
              </w:rPr>
              <w:t>6</w:t>
            </w:r>
          </w:p>
        </w:tc>
        <w:tc>
          <w:tcPr>
            <w:tcW w:w="6521" w:type="dxa"/>
            <w:hideMark/>
          </w:tcPr>
          <w:p w:rsidR="00B05304" w:rsidRPr="00DC7A06" w:rsidRDefault="00B05304" w:rsidP="00891C88">
            <w:pPr>
              <w:pStyle w:val="ac"/>
              <w:jc w:val="both"/>
              <w:rPr>
                <w:b w:val="0"/>
                <w:noProof/>
                <w:sz w:val="22"/>
                <w:szCs w:val="22"/>
              </w:rPr>
            </w:pPr>
            <w:r w:rsidRPr="00DC7A06">
              <w:rPr>
                <w:b w:val="0"/>
                <w:noProof/>
                <w:sz w:val="22"/>
                <w:szCs w:val="22"/>
              </w:rPr>
              <w:t>інваліди I та II груп, законні представники дітей-інвалідів і недієздатних інвалідів</w:t>
            </w:r>
          </w:p>
        </w:tc>
        <w:tc>
          <w:tcPr>
            <w:tcW w:w="1134" w:type="dxa"/>
            <w:hideMark/>
          </w:tcPr>
          <w:p w:rsidR="00B05304" w:rsidRPr="00DC7A06" w:rsidRDefault="00B05304" w:rsidP="00891C88">
            <w:pPr>
              <w:pStyle w:val="ac"/>
              <w:rPr>
                <w:b w:val="0"/>
                <w:noProof/>
                <w:sz w:val="22"/>
                <w:szCs w:val="22"/>
              </w:rPr>
            </w:pPr>
            <w:r w:rsidRPr="00DC7A06">
              <w:rPr>
                <w:b w:val="0"/>
                <w:noProof/>
                <w:sz w:val="22"/>
                <w:szCs w:val="22"/>
              </w:rPr>
              <w:t>33</w:t>
            </w:r>
          </w:p>
        </w:tc>
        <w:tc>
          <w:tcPr>
            <w:tcW w:w="1701" w:type="dxa"/>
            <w:hideMark/>
          </w:tcPr>
          <w:p w:rsidR="00B05304" w:rsidRPr="00DC7A06" w:rsidRDefault="00B05304" w:rsidP="00891C88">
            <w:pPr>
              <w:pStyle w:val="ac"/>
              <w:ind w:firstLine="28"/>
              <w:rPr>
                <w:b w:val="0"/>
                <w:noProof/>
                <w:sz w:val="22"/>
                <w:szCs w:val="22"/>
              </w:rPr>
            </w:pPr>
            <w:r w:rsidRPr="00DC7A06">
              <w:rPr>
                <w:b w:val="0"/>
                <w:noProof/>
                <w:sz w:val="22"/>
                <w:szCs w:val="22"/>
              </w:rPr>
              <w:t>25 415</w:t>
            </w:r>
          </w:p>
        </w:tc>
      </w:tr>
      <w:tr w:rsidR="00B05304" w:rsidRPr="00B05304" w:rsidTr="00B05304">
        <w:trPr>
          <w:trHeight w:val="345"/>
        </w:trPr>
        <w:tc>
          <w:tcPr>
            <w:tcW w:w="817" w:type="dxa"/>
            <w:noWrap/>
          </w:tcPr>
          <w:p w:rsidR="00B05304" w:rsidRPr="00DC7A06" w:rsidRDefault="00B05304" w:rsidP="00B05304">
            <w:pPr>
              <w:pStyle w:val="ac"/>
              <w:ind w:firstLine="142"/>
              <w:rPr>
                <w:b w:val="0"/>
                <w:noProof/>
                <w:sz w:val="22"/>
                <w:szCs w:val="22"/>
              </w:rPr>
            </w:pPr>
            <w:r w:rsidRPr="00DC7A06">
              <w:rPr>
                <w:b w:val="0"/>
                <w:noProof/>
                <w:sz w:val="22"/>
                <w:szCs w:val="22"/>
              </w:rPr>
              <w:t>7</w:t>
            </w:r>
          </w:p>
        </w:tc>
        <w:tc>
          <w:tcPr>
            <w:tcW w:w="6521" w:type="dxa"/>
            <w:hideMark/>
          </w:tcPr>
          <w:p w:rsidR="00B05304" w:rsidRPr="00DC7A06" w:rsidRDefault="00B05304" w:rsidP="00891C88">
            <w:pPr>
              <w:pStyle w:val="ac"/>
              <w:jc w:val="both"/>
              <w:rPr>
                <w:b w:val="0"/>
                <w:noProof/>
                <w:sz w:val="22"/>
                <w:szCs w:val="22"/>
              </w:rPr>
            </w:pPr>
            <w:r w:rsidRPr="00DC7A06">
              <w:rPr>
                <w:b w:val="0"/>
                <w:noProof/>
                <w:sz w:val="22"/>
                <w:szCs w:val="22"/>
              </w:rPr>
              <w:t>позивачі - громадяни, віднесені до 1 та 2 категорій постраждалих внаслідок Чорнобильської катастрофи</w:t>
            </w:r>
          </w:p>
        </w:tc>
        <w:tc>
          <w:tcPr>
            <w:tcW w:w="1134" w:type="dxa"/>
            <w:hideMark/>
          </w:tcPr>
          <w:p w:rsidR="00B05304" w:rsidRPr="00DC7A06" w:rsidRDefault="00B05304" w:rsidP="00891C88">
            <w:pPr>
              <w:pStyle w:val="ac"/>
              <w:rPr>
                <w:b w:val="0"/>
                <w:noProof/>
                <w:sz w:val="22"/>
                <w:szCs w:val="22"/>
              </w:rPr>
            </w:pPr>
            <w:r w:rsidRPr="00DC7A06">
              <w:rPr>
                <w:b w:val="0"/>
                <w:noProof/>
                <w:sz w:val="22"/>
                <w:szCs w:val="22"/>
              </w:rPr>
              <w:t>9</w:t>
            </w:r>
          </w:p>
        </w:tc>
        <w:tc>
          <w:tcPr>
            <w:tcW w:w="1701" w:type="dxa"/>
            <w:hideMark/>
          </w:tcPr>
          <w:p w:rsidR="00B05304" w:rsidRPr="00DC7A06" w:rsidRDefault="00B05304" w:rsidP="00891C88">
            <w:pPr>
              <w:pStyle w:val="ac"/>
              <w:ind w:firstLine="28"/>
              <w:rPr>
                <w:b w:val="0"/>
                <w:noProof/>
                <w:sz w:val="22"/>
                <w:szCs w:val="22"/>
              </w:rPr>
            </w:pPr>
            <w:r w:rsidRPr="00DC7A06">
              <w:rPr>
                <w:b w:val="0"/>
                <w:noProof/>
                <w:sz w:val="22"/>
                <w:szCs w:val="22"/>
              </w:rPr>
              <w:t>5 760</w:t>
            </w:r>
          </w:p>
        </w:tc>
      </w:tr>
      <w:tr w:rsidR="00B05304" w:rsidRPr="00B05304" w:rsidTr="00B05304">
        <w:trPr>
          <w:trHeight w:val="600"/>
        </w:trPr>
        <w:tc>
          <w:tcPr>
            <w:tcW w:w="817" w:type="dxa"/>
            <w:noWrap/>
          </w:tcPr>
          <w:p w:rsidR="00B05304" w:rsidRPr="00DC7A06" w:rsidRDefault="00B05304" w:rsidP="00B05304">
            <w:pPr>
              <w:pStyle w:val="ac"/>
              <w:ind w:firstLine="142"/>
              <w:rPr>
                <w:b w:val="0"/>
                <w:noProof/>
                <w:sz w:val="22"/>
                <w:szCs w:val="22"/>
              </w:rPr>
            </w:pPr>
            <w:r w:rsidRPr="00DC7A06">
              <w:rPr>
                <w:b w:val="0"/>
                <w:noProof/>
                <w:sz w:val="22"/>
                <w:szCs w:val="22"/>
              </w:rPr>
              <w:t>8</w:t>
            </w:r>
          </w:p>
        </w:tc>
        <w:tc>
          <w:tcPr>
            <w:tcW w:w="6521" w:type="dxa"/>
            <w:hideMark/>
          </w:tcPr>
          <w:p w:rsidR="00B05304" w:rsidRPr="00DC7A06" w:rsidRDefault="00B05304" w:rsidP="00891C88">
            <w:pPr>
              <w:pStyle w:val="ac"/>
              <w:jc w:val="both"/>
              <w:rPr>
                <w:b w:val="0"/>
                <w:noProof/>
                <w:sz w:val="22"/>
                <w:szCs w:val="22"/>
              </w:rPr>
            </w:pPr>
            <w:r w:rsidRPr="00DC7A06">
              <w:rPr>
                <w:b w:val="0"/>
                <w:noProof/>
                <w:sz w:val="22"/>
                <w:szCs w:val="22"/>
              </w:rPr>
              <w:t>військовослужбовці, військовозобов</w:t>
            </w:r>
            <w:r w:rsidR="00891C88" w:rsidRPr="00DC7A06">
              <w:rPr>
                <w:b w:val="0"/>
                <w:noProof/>
                <w:sz w:val="22"/>
                <w:szCs w:val="22"/>
              </w:rPr>
              <w:t>’</w:t>
            </w:r>
            <w:r w:rsidRPr="00DC7A06">
              <w:rPr>
                <w:b w:val="0"/>
                <w:noProof/>
                <w:sz w:val="22"/>
                <w:szCs w:val="22"/>
              </w:rPr>
              <w:t>язані та резервісти, які призвані на навчальні (або перевірочні) та спеціальні збори, - у справах, пов</w:t>
            </w:r>
            <w:r w:rsidR="00891C88" w:rsidRPr="00DC7A06">
              <w:rPr>
                <w:b w:val="0"/>
                <w:noProof/>
                <w:sz w:val="22"/>
                <w:szCs w:val="22"/>
              </w:rPr>
              <w:t>’</w:t>
            </w:r>
            <w:r w:rsidRPr="00DC7A06">
              <w:rPr>
                <w:b w:val="0"/>
                <w:noProof/>
                <w:sz w:val="22"/>
                <w:szCs w:val="22"/>
              </w:rPr>
              <w:t>язаних з виконанням військового обов</w:t>
            </w:r>
            <w:r w:rsidR="00891C88" w:rsidRPr="00DC7A06">
              <w:rPr>
                <w:b w:val="0"/>
                <w:noProof/>
                <w:sz w:val="22"/>
                <w:szCs w:val="22"/>
              </w:rPr>
              <w:t>’</w:t>
            </w:r>
            <w:r w:rsidRPr="00DC7A06">
              <w:rPr>
                <w:b w:val="0"/>
                <w:noProof/>
                <w:sz w:val="22"/>
                <w:szCs w:val="22"/>
              </w:rPr>
              <w:t>язку, а також під час виконання службових обов</w:t>
            </w:r>
            <w:r w:rsidR="00891C88" w:rsidRPr="00DC7A06">
              <w:rPr>
                <w:b w:val="0"/>
                <w:noProof/>
                <w:sz w:val="22"/>
                <w:szCs w:val="22"/>
              </w:rPr>
              <w:t>’</w:t>
            </w:r>
            <w:r w:rsidRPr="00DC7A06">
              <w:rPr>
                <w:b w:val="0"/>
                <w:noProof/>
                <w:sz w:val="22"/>
                <w:szCs w:val="22"/>
              </w:rPr>
              <w:t>язків</w:t>
            </w:r>
          </w:p>
        </w:tc>
        <w:tc>
          <w:tcPr>
            <w:tcW w:w="1134" w:type="dxa"/>
            <w:hideMark/>
          </w:tcPr>
          <w:p w:rsidR="00B05304" w:rsidRPr="00DC7A06" w:rsidRDefault="00B05304" w:rsidP="00891C88">
            <w:pPr>
              <w:pStyle w:val="ac"/>
              <w:rPr>
                <w:b w:val="0"/>
                <w:noProof/>
                <w:sz w:val="22"/>
                <w:szCs w:val="22"/>
              </w:rPr>
            </w:pPr>
            <w:r w:rsidRPr="00DC7A06">
              <w:rPr>
                <w:b w:val="0"/>
                <w:noProof/>
                <w:sz w:val="22"/>
                <w:szCs w:val="22"/>
              </w:rPr>
              <w:t>35</w:t>
            </w:r>
          </w:p>
        </w:tc>
        <w:tc>
          <w:tcPr>
            <w:tcW w:w="1701" w:type="dxa"/>
            <w:hideMark/>
          </w:tcPr>
          <w:p w:rsidR="00B05304" w:rsidRPr="00DC7A06" w:rsidRDefault="00B05304" w:rsidP="00891C88">
            <w:pPr>
              <w:pStyle w:val="ac"/>
              <w:ind w:firstLine="28"/>
              <w:rPr>
                <w:b w:val="0"/>
                <w:noProof/>
                <w:sz w:val="22"/>
                <w:szCs w:val="22"/>
              </w:rPr>
            </w:pPr>
            <w:r w:rsidRPr="00DC7A06">
              <w:rPr>
                <w:b w:val="0"/>
                <w:noProof/>
                <w:sz w:val="22"/>
                <w:szCs w:val="22"/>
              </w:rPr>
              <w:t>26 294</w:t>
            </w:r>
          </w:p>
        </w:tc>
      </w:tr>
      <w:tr w:rsidR="00B05304" w:rsidRPr="00B05304" w:rsidTr="00B05304">
        <w:trPr>
          <w:trHeight w:val="405"/>
        </w:trPr>
        <w:tc>
          <w:tcPr>
            <w:tcW w:w="817" w:type="dxa"/>
            <w:noWrap/>
          </w:tcPr>
          <w:p w:rsidR="00B05304" w:rsidRPr="00DC7A06" w:rsidRDefault="00B05304" w:rsidP="00B05304">
            <w:pPr>
              <w:pStyle w:val="ac"/>
              <w:ind w:firstLine="142"/>
              <w:rPr>
                <w:b w:val="0"/>
                <w:noProof/>
                <w:sz w:val="22"/>
                <w:szCs w:val="22"/>
              </w:rPr>
            </w:pPr>
            <w:r w:rsidRPr="00DC7A06">
              <w:rPr>
                <w:b w:val="0"/>
                <w:noProof/>
                <w:sz w:val="22"/>
                <w:szCs w:val="22"/>
              </w:rPr>
              <w:t>9</w:t>
            </w:r>
          </w:p>
        </w:tc>
        <w:tc>
          <w:tcPr>
            <w:tcW w:w="6521" w:type="dxa"/>
            <w:hideMark/>
          </w:tcPr>
          <w:p w:rsidR="00B05304" w:rsidRPr="00DC7A06" w:rsidRDefault="00B05304" w:rsidP="00891C88">
            <w:pPr>
              <w:pStyle w:val="ac"/>
              <w:jc w:val="both"/>
              <w:rPr>
                <w:b w:val="0"/>
                <w:noProof/>
                <w:sz w:val="22"/>
                <w:szCs w:val="22"/>
              </w:rPr>
            </w:pPr>
            <w:r w:rsidRPr="00DC7A06">
              <w:rPr>
                <w:b w:val="0"/>
                <w:noProof/>
                <w:sz w:val="22"/>
                <w:szCs w:val="22"/>
              </w:rPr>
              <w:t>учасники бойових дій, Герої України - у справах, пов</w:t>
            </w:r>
            <w:r w:rsidR="00891C88" w:rsidRPr="00DC7A06">
              <w:rPr>
                <w:b w:val="0"/>
                <w:noProof/>
                <w:sz w:val="22"/>
                <w:szCs w:val="22"/>
              </w:rPr>
              <w:t>’</w:t>
            </w:r>
            <w:r w:rsidRPr="00DC7A06">
              <w:rPr>
                <w:b w:val="0"/>
                <w:noProof/>
                <w:sz w:val="22"/>
                <w:szCs w:val="22"/>
              </w:rPr>
              <w:t>язаних з порушенням їхніх прав</w:t>
            </w:r>
          </w:p>
        </w:tc>
        <w:tc>
          <w:tcPr>
            <w:tcW w:w="1134" w:type="dxa"/>
            <w:hideMark/>
          </w:tcPr>
          <w:p w:rsidR="00B05304" w:rsidRPr="00DC7A06" w:rsidRDefault="00B05304" w:rsidP="00891C88">
            <w:pPr>
              <w:pStyle w:val="ac"/>
              <w:rPr>
                <w:b w:val="0"/>
                <w:noProof/>
                <w:sz w:val="22"/>
                <w:szCs w:val="22"/>
              </w:rPr>
            </w:pPr>
            <w:r w:rsidRPr="00DC7A06">
              <w:rPr>
                <w:b w:val="0"/>
                <w:noProof/>
                <w:sz w:val="22"/>
                <w:szCs w:val="22"/>
              </w:rPr>
              <w:t>94</w:t>
            </w:r>
          </w:p>
        </w:tc>
        <w:tc>
          <w:tcPr>
            <w:tcW w:w="1701" w:type="dxa"/>
            <w:hideMark/>
          </w:tcPr>
          <w:p w:rsidR="00B05304" w:rsidRPr="00DC7A06" w:rsidRDefault="00B05304" w:rsidP="00891C88">
            <w:pPr>
              <w:pStyle w:val="ac"/>
              <w:ind w:firstLine="28"/>
              <w:rPr>
                <w:b w:val="0"/>
                <w:noProof/>
                <w:sz w:val="22"/>
                <w:szCs w:val="22"/>
              </w:rPr>
            </w:pPr>
            <w:r w:rsidRPr="00DC7A06">
              <w:rPr>
                <w:b w:val="0"/>
                <w:noProof/>
                <w:sz w:val="22"/>
                <w:szCs w:val="22"/>
              </w:rPr>
              <w:t>61 759</w:t>
            </w:r>
          </w:p>
        </w:tc>
      </w:tr>
      <w:tr w:rsidR="00B05304" w:rsidRPr="00B05304" w:rsidTr="00B05304">
        <w:trPr>
          <w:trHeight w:val="540"/>
        </w:trPr>
        <w:tc>
          <w:tcPr>
            <w:tcW w:w="817" w:type="dxa"/>
            <w:noWrap/>
          </w:tcPr>
          <w:p w:rsidR="00B05304" w:rsidRPr="00DC7A06" w:rsidRDefault="00B05304" w:rsidP="00B05304">
            <w:pPr>
              <w:pStyle w:val="ac"/>
              <w:ind w:firstLine="142"/>
              <w:rPr>
                <w:b w:val="0"/>
                <w:noProof/>
                <w:sz w:val="22"/>
                <w:szCs w:val="22"/>
              </w:rPr>
            </w:pPr>
            <w:r w:rsidRPr="00DC7A06">
              <w:rPr>
                <w:b w:val="0"/>
                <w:noProof/>
                <w:sz w:val="22"/>
                <w:szCs w:val="22"/>
              </w:rPr>
              <w:t>10</w:t>
            </w:r>
          </w:p>
        </w:tc>
        <w:tc>
          <w:tcPr>
            <w:tcW w:w="6521" w:type="dxa"/>
            <w:hideMark/>
          </w:tcPr>
          <w:p w:rsidR="00B05304" w:rsidRPr="00DC7A06" w:rsidRDefault="00B05304" w:rsidP="00891C88">
            <w:pPr>
              <w:pStyle w:val="ac"/>
              <w:jc w:val="both"/>
              <w:rPr>
                <w:b w:val="0"/>
                <w:noProof/>
                <w:sz w:val="22"/>
                <w:szCs w:val="22"/>
              </w:rPr>
            </w:pPr>
            <w:r w:rsidRPr="00DC7A06">
              <w:rPr>
                <w:b w:val="0"/>
                <w:noProof/>
                <w:sz w:val="22"/>
                <w:szCs w:val="22"/>
              </w:rPr>
              <w:t xml:space="preserve">позивачі - у справах у порядку, визначеному статтею 12 Закону України </w:t>
            </w:r>
            <w:r w:rsidR="00891C88" w:rsidRPr="00DC7A06">
              <w:rPr>
                <w:b w:val="0"/>
                <w:noProof/>
                <w:sz w:val="22"/>
                <w:szCs w:val="22"/>
              </w:rPr>
              <w:t>«</w:t>
            </w:r>
            <w:r w:rsidRPr="00DC7A06">
              <w:rPr>
                <w:b w:val="0"/>
                <w:noProof/>
                <w:sz w:val="22"/>
                <w:szCs w:val="22"/>
              </w:rPr>
              <w:t>Про біженців та осіб, які потребують додаткового або тимчасового захисту</w:t>
            </w:r>
            <w:r w:rsidR="00891C88" w:rsidRPr="00DC7A06">
              <w:rPr>
                <w:b w:val="0"/>
                <w:noProof/>
                <w:sz w:val="22"/>
                <w:szCs w:val="22"/>
              </w:rPr>
              <w:t>»</w:t>
            </w:r>
          </w:p>
        </w:tc>
        <w:tc>
          <w:tcPr>
            <w:tcW w:w="1134" w:type="dxa"/>
            <w:hideMark/>
          </w:tcPr>
          <w:p w:rsidR="00B05304" w:rsidRPr="00DC7A06" w:rsidRDefault="00B05304" w:rsidP="00891C88">
            <w:pPr>
              <w:pStyle w:val="ac"/>
              <w:rPr>
                <w:b w:val="0"/>
                <w:noProof/>
                <w:sz w:val="22"/>
                <w:szCs w:val="22"/>
              </w:rPr>
            </w:pPr>
            <w:r w:rsidRPr="00DC7A06">
              <w:rPr>
                <w:b w:val="0"/>
                <w:noProof/>
                <w:sz w:val="22"/>
                <w:szCs w:val="22"/>
              </w:rPr>
              <w:t>18</w:t>
            </w:r>
          </w:p>
        </w:tc>
        <w:tc>
          <w:tcPr>
            <w:tcW w:w="1701" w:type="dxa"/>
            <w:hideMark/>
          </w:tcPr>
          <w:p w:rsidR="00B05304" w:rsidRPr="00DC7A06" w:rsidRDefault="00B05304" w:rsidP="00891C88">
            <w:pPr>
              <w:pStyle w:val="ac"/>
              <w:ind w:firstLine="28"/>
              <w:rPr>
                <w:b w:val="0"/>
                <w:noProof/>
                <w:sz w:val="22"/>
                <w:szCs w:val="22"/>
              </w:rPr>
            </w:pPr>
            <w:r w:rsidRPr="00DC7A06">
              <w:rPr>
                <w:b w:val="0"/>
                <w:noProof/>
                <w:sz w:val="22"/>
                <w:szCs w:val="22"/>
              </w:rPr>
              <w:t>11 520</w:t>
            </w:r>
          </w:p>
        </w:tc>
      </w:tr>
      <w:tr w:rsidR="00B05304" w:rsidRPr="00B05304" w:rsidTr="00D56B89">
        <w:trPr>
          <w:trHeight w:val="278"/>
        </w:trPr>
        <w:tc>
          <w:tcPr>
            <w:tcW w:w="817" w:type="dxa"/>
            <w:noWrap/>
          </w:tcPr>
          <w:p w:rsidR="00B05304" w:rsidRPr="00DC7A06" w:rsidRDefault="00B05304" w:rsidP="00B05304">
            <w:pPr>
              <w:pStyle w:val="ac"/>
              <w:ind w:firstLine="142"/>
              <w:rPr>
                <w:b w:val="0"/>
                <w:noProof/>
                <w:sz w:val="22"/>
                <w:szCs w:val="22"/>
              </w:rPr>
            </w:pPr>
            <w:r w:rsidRPr="00DC7A06">
              <w:rPr>
                <w:b w:val="0"/>
                <w:noProof/>
                <w:sz w:val="22"/>
                <w:szCs w:val="22"/>
              </w:rPr>
              <w:t>11</w:t>
            </w:r>
          </w:p>
        </w:tc>
        <w:tc>
          <w:tcPr>
            <w:tcW w:w="6521" w:type="dxa"/>
            <w:hideMark/>
          </w:tcPr>
          <w:p w:rsidR="00B05304" w:rsidRPr="00DC7A06" w:rsidRDefault="00B05304" w:rsidP="00891C88">
            <w:pPr>
              <w:pStyle w:val="ac"/>
              <w:jc w:val="both"/>
              <w:rPr>
                <w:b w:val="0"/>
                <w:noProof/>
                <w:sz w:val="22"/>
                <w:szCs w:val="22"/>
              </w:rPr>
            </w:pPr>
            <w:r w:rsidRPr="00DC7A06">
              <w:rPr>
                <w:b w:val="0"/>
                <w:noProof/>
                <w:sz w:val="22"/>
                <w:szCs w:val="22"/>
              </w:rPr>
              <w:t xml:space="preserve">позивач - за подання позову щодо спорів, пов’язаних з наданням статусу учасника бойових дій відповідно до пунктів 19, 20 частини першої статті 6 Закону України </w:t>
            </w:r>
            <w:r w:rsidR="00891C88" w:rsidRPr="00DC7A06">
              <w:rPr>
                <w:b w:val="0"/>
                <w:noProof/>
                <w:sz w:val="22"/>
                <w:szCs w:val="22"/>
              </w:rPr>
              <w:t>«</w:t>
            </w:r>
            <w:r w:rsidRPr="00DC7A06">
              <w:rPr>
                <w:b w:val="0"/>
                <w:noProof/>
                <w:sz w:val="22"/>
                <w:szCs w:val="22"/>
              </w:rPr>
              <w:t>Про статус ветеранів війни, гарантії їх соціального захисту</w:t>
            </w:r>
            <w:r w:rsidR="00891C88" w:rsidRPr="00DC7A06">
              <w:rPr>
                <w:b w:val="0"/>
                <w:noProof/>
                <w:sz w:val="22"/>
                <w:szCs w:val="22"/>
              </w:rPr>
              <w:t>»</w:t>
            </w:r>
          </w:p>
        </w:tc>
        <w:tc>
          <w:tcPr>
            <w:tcW w:w="1134" w:type="dxa"/>
            <w:hideMark/>
          </w:tcPr>
          <w:p w:rsidR="00B05304" w:rsidRPr="00DC7A06" w:rsidRDefault="00B05304" w:rsidP="00891C88">
            <w:pPr>
              <w:pStyle w:val="ac"/>
              <w:rPr>
                <w:b w:val="0"/>
                <w:noProof/>
                <w:sz w:val="22"/>
                <w:szCs w:val="22"/>
              </w:rPr>
            </w:pPr>
            <w:r w:rsidRPr="00DC7A06">
              <w:rPr>
                <w:b w:val="0"/>
                <w:noProof/>
                <w:sz w:val="22"/>
                <w:szCs w:val="22"/>
              </w:rPr>
              <w:t>3</w:t>
            </w:r>
          </w:p>
        </w:tc>
        <w:tc>
          <w:tcPr>
            <w:tcW w:w="1701" w:type="dxa"/>
            <w:hideMark/>
          </w:tcPr>
          <w:p w:rsidR="00B05304" w:rsidRPr="00DC7A06" w:rsidRDefault="00B05304" w:rsidP="00891C88">
            <w:pPr>
              <w:pStyle w:val="ac"/>
              <w:ind w:firstLine="28"/>
              <w:rPr>
                <w:b w:val="0"/>
                <w:noProof/>
                <w:sz w:val="22"/>
                <w:szCs w:val="22"/>
              </w:rPr>
            </w:pPr>
            <w:r w:rsidRPr="00DC7A06">
              <w:rPr>
                <w:b w:val="0"/>
                <w:noProof/>
                <w:sz w:val="22"/>
                <w:szCs w:val="22"/>
              </w:rPr>
              <w:t>1 920</w:t>
            </w:r>
          </w:p>
        </w:tc>
      </w:tr>
      <w:tr w:rsidR="00B05304" w:rsidRPr="00B05304" w:rsidTr="00B05304">
        <w:trPr>
          <w:trHeight w:val="1245"/>
        </w:trPr>
        <w:tc>
          <w:tcPr>
            <w:tcW w:w="817" w:type="dxa"/>
            <w:noWrap/>
          </w:tcPr>
          <w:p w:rsidR="00B05304" w:rsidRPr="00DC7A06" w:rsidRDefault="00B05304" w:rsidP="00B05304">
            <w:pPr>
              <w:pStyle w:val="ac"/>
              <w:ind w:firstLine="142"/>
              <w:rPr>
                <w:b w:val="0"/>
                <w:noProof/>
                <w:sz w:val="22"/>
                <w:szCs w:val="22"/>
              </w:rPr>
            </w:pPr>
            <w:r w:rsidRPr="00DC7A06">
              <w:rPr>
                <w:b w:val="0"/>
                <w:noProof/>
                <w:sz w:val="22"/>
                <w:szCs w:val="22"/>
              </w:rPr>
              <w:t>12</w:t>
            </w:r>
          </w:p>
        </w:tc>
        <w:tc>
          <w:tcPr>
            <w:tcW w:w="6521" w:type="dxa"/>
            <w:hideMark/>
          </w:tcPr>
          <w:p w:rsidR="00B05304" w:rsidRPr="00DC7A06" w:rsidRDefault="00B05304" w:rsidP="00891C88">
            <w:pPr>
              <w:pStyle w:val="ac"/>
              <w:jc w:val="both"/>
              <w:rPr>
                <w:b w:val="0"/>
                <w:noProof/>
                <w:sz w:val="22"/>
                <w:szCs w:val="22"/>
              </w:rPr>
            </w:pPr>
            <w:r w:rsidRPr="00DC7A06">
              <w:rPr>
                <w:b w:val="0"/>
                <w:noProof/>
                <w:sz w:val="22"/>
                <w:szCs w:val="22"/>
              </w:rPr>
              <w:t xml:space="preserve">засуджені до покарання у виді довічного позбавлення волі, позбавлення волі на певний строк та до покарань, не пов’язаних з позбавленням волі, а також особи, взяті під варту, - у справах, пов’язаних із питаннями, які вирішуються судом під час виконання вироку відповідно до статті 537 Кримінального </w:t>
            </w:r>
            <w:r w:rsidRPr="00DC7A06">
              <w:rPr>
                <w:b w:val="0"/>
                <w:noProof/>
                <w:sz w:val="22"/>
                <w:szCs w:val="22"/>
              </w:rPr>
              <w:lastRenderedPageBreak/>
              <w:t>процесуального кодексу України, у разі відсутності на їхніх особових рахунках коштів, достатніх для сплати судового збору</w:t>
            </w:r>
          </w:p>
        </w:tc>
        <w:tc>
          <w:tcPr>
            <w:tcW w:w="1134" w:type="dxa"/>
            <w:hideMark/>
          </w:tcPr>
          <w:p w:rsidR="00B05304" w:rsidRPr="00DC7A06" w:rsidRDefault="00B05304" w:rsidP="00891C88">
            <w:pPr>
              <w:pStyle w:val="ac"/>
              <w:rPr>
                <w:b w:val="0"/>
                <w:noProof/>
                <w:sz w:val="22"/>
                <w:szCs w:val="22"/>
              </w:rPr>
            </w:pPr>
            <w:r w:rsidRPr="00DC7A06">
              <w:rPr>
                <w:b w:val="0"/>
                <w:noProof/>
                <w:sz w:val="22"/>
                <w:szCs w:val="22"/>
              </w:rPr>
              <w:lastRenderedPageBreak/>
              <w:t>1</w:t>
            </w:r>
          </w:p>
        </w:tc>
        <w:tc>
          <w:tcPr>
            <w:tcW w:w="1701" w:type="dxa"/>
            <w:hideMark/>
          </w:tcPr>
          <w:p w:rsidR="00B05304" w:rsidRPr="00DC7A06" w:rsidRDefault="00B05304" w:rsidP="00891C88">
            <w:pPr>
              <w:pStyle w:val="ac"/>
              <w:ind w:firstLine="28"/>
              <w:rPr>
                <w:b w:val="0"/>
                <w:noProof/>
                <w:sz w:val="22"/>
                <w:szCs w:val="22"/>
              </w:rPr>
            </w:pPr>
            <w:r w:rsidRPr="00DC7A06">
              <w:rPr>
                <w:b w:val="0"/>
                <w:noProof/>
                <w:sz w:val="22"/>
                <w:szCs w:val="22"/>
              </w:rPr>
              <w:t>640</w:t>
            </w:r>
          </w:p>
        </w:tc>
      </w:tr>
      <w:tr w:rsidR="00B05304" w:rsidRPr="00B05304" w:rsidTr="00B05304">
        <w:trPr>
          <w:trHeight w:val="630"/>
        </w:trPr>
        <w:tc>
          <w:tcPr>
            <w:tcW w:w="817" w:type="dxa"/>
            <w:noWrap/>
          </w:tcPr>
          <w:p w:rsidR="00B05304" w:rsidRPr="00DC7A06" w:rsidRDefault="00B05304" w:rsidP="00B05304">
            <w:pPr>
              <w:pStyle w:val="ac"/>
              <w:ind w:firstLine="142"/>
              <w:rPr>
                <w:b w:val="0"/>
                <w:noProof/>
                <w:sz w:val="22"/>
                <w:szCs w:val="22"/>
              </w:rPr>
            </w:pPr>
            <w:r w:rsidRPr="00DC7A06">
              <w:rPr>
                <w:b w:val="0"/>
                <w:noProof/>
                <w:sz w:val="22"/>
                <w:szCs w:val="22"/>
              </w:rPr>
              <w:lastRenderedPageBreak/>
              <w:t>13</w:t>
            </w:r>
          </w:p>
        </w:tc>
        <w:tc>
          <w:tcPr>
            <w:tcW w:w="6521" w:type="dxa"/>
            <w:hideMark/>
          </w:tcPr>
          <w:p w:rsidR="00B05304" w:rsidRPr="00DC7A06" w:rsidRDefault="00B05304" w:rsidP="00891C88">
            <w:pPr>
              <w:pStyle w:val="ac"/>
              <w:jc w:val="both"/>
              <w:rPr>
                <w:b w:val="0"/>
                <w:noProof/>
                <w:sz w:val="22"/>
                <w:szCs w:val="22"/>
              </w:rPr>
            </w:pPr>
            <w:r w:rsidRPr="00DC7A06">
              <w:rPr>
                <w:b w:val="0"/>
                <w:noProof/>
                <w:sz w:val="22"/>
                <w:szCs w:val="22"/>
              </w:rPr>
              <w:t>Пенсійний фонд України та його органи, органи Фонду загальнообов’язкового державного соціального страхування України на випадок безробіття та Фонду соціального страхування України</w:t>
            </w:r>
          </w:p>
        </w:tc>
        <w:tc>
          <w:tcPr>
            <w:tcW w:w="1134" w:type="dxa"/>
            <w:hideMark/>
          </w:tcPr>
          <w:p w:rsidR="00B05304" w:rsidRPr="00DC7A06" w:rsidRDefault="00B05304" w:rsidP="00891C88">
            <w:pPr>
              <w:pStyle w:val="ac"/>
              <w:rPr>
                <w:b w:val="0"/>
                <w:noProof/>
                <w:sz w:val="22"/>
                <w:szCs w:val="22"/>
              </w:rPr>
            </w:pPr>
            <w:r w:rsidRPr="00DC7A06">
              <w:rPr>
                <w:b w:val="0"/>
                <w:noProof/>
                <w:sz w:val="22"/>
                <w:szCs w:val="22"/>
              </w:rPr>
              <w:t>1185</w:t>
            </w:r>
          </w:p>
        </w:tc>
        <w:tc>
          <w:tcPr>
            <w:tcW w:w="1701" w:type="dxa"/>
            <w:hideMark/>
          </w:tcPr>
          <w:p w:rsidR="00B05304" w:rsidRPr="00DC7A06" w:rsidRDefault="00B05304" w:rsidP="00891C88">
            <w:pPr>
              <w:pStyle w:val="ac"/>
              <w:ind w:firstLine="28"/>
              <w:rPr>
                <w:b w:val="0"/>
                <w:noProof/>
                <w:sz w:val="22"/>
                <w:szCs w:val="22"/>
              </w:rPr>
            </w:pPr>
            <w:r w:rsidRPr="00DC7A06">
              <w:rPr>
                <w:b w:val="0"/>
                <w:noProof/>
                <w:sz w:val="22"/>
                <w:szCs w:val="22"/>
              </w:rPr>
              <w:t>15 274 852</w:t>
            </w:r>
          </w:p>
        </w:tc>
      </w:tr>
      <w:tr w:rsidR="00B05304" w:rsidRPr="00B05304" w:rsidTr="00891C88">
        <w:trPr>
          <w:trHeight w:val="416"/>
        </w:trPr>
        <w:tc>
          <w:tcPr>
            <w:tcW w:w="817" w:type="dxa"/>
            <w:noWrap/>
          </w:tcPr>
          <w:p w:rsidR="00B05304" w:rsidRPr="00DC7A06" w:rsidRDefault="00B05304" w:rsidP="00B05304">
            <w:pPr>
              <w:pStyle w:val="ac"/>
              <w:ind w:firstLine="142"/>
              <w:rPr>
                <w:b w:val="0"/>
                <w:noProof/>
                <w:sz w:val="22"/>
                <w:szCs w:val="22"/>
              </w:rPr>
            </w:pPr>
            <w:r w:rsidRPr="00DC7A06">
              <w:rPr>
                <w:b w:val="0"/>
                <w:noProof/>
                <w:sz w:val="22"/>
                <w:szCs w:val="22"/>
              </w:rPr>
              <w:t>14</w:t>
            </w:r>
          </w:p>
        </w:tc>
        <w:tc>
          <w:tcPr>
            <w:tcW w:w="6521" w:type="dxa"/>
            <w:hideMark/>
          </w:tcPr>
          <w:p w:rsidR="00B05304" w:rsidRPr="00DC7A06" w:rsidRDefault="00B05304" w:rsidP="00891C88">
            <w:pPr>
              <w:pStyle w:val="ac"/>
              <w:jc w:val="both"/>
              <w:rPr>
                <w:b w:val="0"/>
                <w:noProof/>
                <w:sz w:val="22"/>
                <w:szCs w:val="22"/>
              </w:rPr>
            </w:pPr>
            <w:r w:rsidRPr="00DC7A06">
              <w:rPr>
                <w:b w:val="0"/>
                <w:noProof/>
                <w:sz w:val="22"/>
                <w:szCs w:val="22"/>
              </w:rPr>
              <w:t>центральний орган виконавчої влади, що реалізує державну політику з питань нагляду та контролю за додержанням законодавства про працю, структурні підрозділи виконавчих органів міських рад міст обласного значення та об’єднаних територіальних громад, на які покладені функції із здійснення контролю за додержанням законодавства про працю та зайнятість населення</w:t>
            </w:r>
          </w:p>
        </w:tc>
        <w:tc>
          <w:tcPr>
            <w:tcW w:w="1134" w:type="dxa"/>
            <w:hideMark/>
          </w:tcPr>
          <w:p w:rsidR="00B05304" w:rsidRPr="00DC7A06" w:rsidRDefault="00B05304" w:rsidP="00891C88">
            <w:pPr>
              <w:pStyle w:val="ac"/>
              <w:rPr>
                <w:b w:val="0"/>
                <w:noProof/>
                <w:sz w:val="22"/>
                <w:szCs w:val="22"/>
              </w:rPr>
            </w:pPr>
            <w:r w:rsidRPr="00DC7A06">
              <w:rPr>
                <w:b w:val="0"/>
                <w:noProof/>
                <w:sz w:val="22"/>
                <w:szCs w:val="22"/>
              </w:rPr>
              <w:t>16</w:t>
            </w:r>
          </w:p>
        </w:tc>
        <w:tc>
          <w:tcPr>
            <w:tcW w:w="1701" w:type="dxa"/>
            <w:hideMark/>
          </w:tcPr>
          <w:p w:rsidR="00B05304" w:rsidRPr="00DC7A06" w:rsidRDefault="00B05304" w:rsidP="00891C88">
            <w:pPr>
              <w:pStyle w:val="ac"/>
              <w:ind w:firstLine="28"/>
              <w:rPr>
                <w:b w:val="0"/>
                <w:noProof/>
                <w:sz w:val="22"/>
                <w:szCs w:val="22"/>
              </w:rPr>
            </w:pPr>
            <w:r w:rsidRPr="00DC7A06">
              <w:rPr>
                <w:b w:val="0"/>
                <w:noProof/>
                <w:sz w:val="22"/>
                <w:szCs w:val="22"/>
              </w:rPr>
              <w:t>25 600</w:t>
            </w:r>
          </w:p>
        </w:tc>
      </w:tr>
      <w:tr w:rsidR="00A9632A" w:rsidRPr="00B05304" w:rsidTr="00891C88">
        <w:trPr>
          <w:trHeight w:val="416"/>
        </w:trPr>
        <w:tc>
          <w:tcPr>
            <w:tcW w:w="817" w:type="dxa"/>
            <w:noWrap/>
          </w:tcPr>
          <w:p w:rsidR="00A9632A" w:rsidRPr="00DC7A06" w:rsidRDefault="00A9632A" w:rsidP="00B05304">
            <w:pPr>
              <w:pStyle w:val="ac"/>
              <w:ind w:firstLine="142"/>
              <w:rPr>
                <w:b w:val="0"/>
                <w:noProof/>
                <w:sz w:val="22"/>
                <w:szCs w:val="22"/>
              </w:rPr>
            </w:pPr>
            <w:r w:rsidRPr="00DC7A06">
              <w:rPr>
                <w:b w:val="0"/>
                <w:noProof/>
                <w:sz w:val="22"/>
                <w:szCs w:val="22"/>
              </w:rPr>
              <w:t>15</w:t>
            </w:r>
          </w:p>
        </w:tc>
        <w:tc>
          <w:tcPr>
            <w:tcW w:w="6521" w:type="dxa"/>
          </w:tcPr>
          <w:p w:rsidR="00A9632A" w:rsidRPr="00DC7A06" w:rsidRDefault="00D56B89" w:rsidP="00891C88">
            <w:pPr>
              <w:pStyle w:val="ac"/>
              <w:jc w:val="both"/>
              <w:rPr>
                <w:noProof/>
                <w:sz w:val="22"/>
                <w:szCs w:val="22"/>
              </w:rPr>
            </w:pPr>
            <w:r w:rsidRPr="00DC7A06">
              <w:rPr>
                <w:noProof/>
                <w:sz w:val="22"/>
                <w:szCs w:val="22"/>
              </w:rPr>
              <w:t>В</w:t>
            </w:r>
            <w:r w:rsidR="00A9632A" w:rsidRPr="00DC7A06">
              <w:rPr>
                <w:noProof/>
                <w:sz w:val="22"/>
                <w:szCs w:val="22"/>
              </w:rPr>
              <w:t>СЬОГО</w:t>
            </w:r>
          </w:p>
        </w:tc>
        <w:tc>
          <w:tcPr>
            <w:tcW w:w="1134" w:type="dxa"/>
          </w:tcPr>
          <w:p w:rsidR="00A9632A" w:rsidRPr="00DC7A06" w:rsidRDefault="00A9632A" w:rsidP="00891C88">
            <w:pPr>
              <w:pStyle w:val="ac"/>
              <w:rPr>
                <w:noProof/>
                <w:sz w:val="22"/>
                <w:szCs w:val="22"/>
              </w:rPr>
            </w:pPr>
            <w:r w:rsidRPr="00DC7A06">
              <w:rPr>
                <w:noProof/>
                <w:sz w:val="22"/>
                <w:szCs w:val="22"/>
              </w:rPr>
              <w:t>1622</w:t>
            </w:r>
          </w:p>
        </w:tc>
        <w:tc>
          <w:tcPr>
            <w:tcW w:w="1701" w:type="dxa"/>
          </w:tcPr>
          <w:p w:rsidR="00A9632A" w:rsidRPr="00DC7A06" w:rsidRDefault="00A9632A" w:rsidP="00891C88">
            <w:pPr>
              <w:pStyle w:val="ac"/>
              <w:ind w:firstLine="28"/>
              <w:rPr>
                <w:noProof/>
                <w:sz w:val="22"/>
                <w:szCs w:val="22"/>
              </w:rPr>
            </w:pPr>
            <w:r w:rsidRPr="00DC7A06">
              <w:rPr>
                <w:noProof/>
                <w:sz w:val="22"/>
                <w:szCs w:val="22"/>
              </w:rPr>
              <w:t xml:space="preserve">15 604 051 </w:t>
            </w:r>
          </w:p>
        </w:tc>
      </w:tr>
    </w:tbl>
    <w:p w:rsidR="00DC7A06" w:rsidRDefault="00DC7A06" w:rsidP="00891C88">
      <w:pPr>
        <w:pStyle w:val="ac"/>
        <w:ind w:firstLine="360"/>
        <w:jc w:val="both"/>
        <w:rPr>
          <w:b w:val="0"/>
          <w:noProof/>
          <w:sz w:val="24"/>
          <w:szCs w:val="24"/>
        </w:rPr>
      </w:pPr>
    </w:p>
    <w:p w:rsidR="00C83D1C" w:rsidRDefault="00891C88" w:rsidP="00891C88">
      <w:pPr>
        <w:pStyle w:val="ac"/>
        <w:ind w:firstLine="360"/>
        <w:jc w:val="both"/>
        <w:rPr>
          <w:b w:val="0"/>
          <w:noProof/>
          <w:sz w:val="24"/>
          <w:szCs w:val="24"/>
        </w:rPr>
      </w:pPr>
      <w:r>
        <w:rPr>
          <w:b w:val="0"/>
          <w:noProof/>
          <w:sz w:val="24"/>
          <w:szCs w:val="24"/>
        </w:rPr>
        <w:t>Як бачимо, найбільше пільнами скористалися органи Пенсійного фонду Укр</w:t>
      </w:r>
      <w:r w:rsidR="00DC7A06">
        <w:rPr>
          <w:b w:val="0"/>
          <w:noProof/>
          <w:sz w:val="24"/>
          <w:szCs w:val="24"/>
        </w:rPr>
        <w:t>аїни, органи Фонду загальнообов'</w:t>
      </w:r>
      <w:r>
        <w:rPr>
          <w:b w:val="0"/>
          <w:noProof/>
          <w:sz w:val="24"/>
          <w:szCs w:val="24"/>
        </w:rPr>
        <w:t xml:space="preserve">язкового державного соціального страхування на випадок безробіття та Фонду соціального страхування України. </w:t>
      </w:r>
    </w:p>
    <w:p w:rsidR="00573E95" w:rsidRDefault="00573E95" w:rsidP="00207F89">
      <w:pPr>
        <w:widowControl w:val="0"/>
        <w:spacing w:after="0" w:line="0" w:lineRule="atLeast"/>
        <w:jc w:val="both"/>
        <w:rPr>
          <w:rFonts w:ascii="Times New Roman" w:eastAsia="Times New Roman" w:hAnsi="Times New Roman" w:cs="Times New Roman"/>
          <w:color w:val="000000"/>
          <w:sz w:val="24"/>
          <w:szCs w:val="24"/>
          <w:lang w:eastAsia="uk-UA" w:bidi="uk-UA"/>
        </w:rPr>
      </w:pPr>
    </w:p>
    <w:p w:rsidR="00573E95" w:rsidRPr="00207F89" w:rsidRDefault="00573E95" w:rsidP="00207F89">
      <w:pPr>
        <w:widowControl w:val="0"/>
        <w:spacing w:after="0" w:line="0" w:lineRule="atLeast"/>
        <w:jc w:val="both"/>
        <w:rPr>
          <w:rFonts w:ascii="Times New Roman" w:eastAsia="Times New Roman" w:hAnsi="Times New Roman" w:cs="Times New Roman"/>
          <w:color w:val="000000"/>
          <w:sz w:val="24"/>
          <w:szCs w:val="24"/>
          <w:lang w:eastAsia="uk-UA" w:bidi="uk-UA"/>
        </w:rPr>
      </w:pPr>
    </w:p>
    <w:p w:rsidR="00207F89" w:rsidRPr="00207F89" w:rsidRDefault="00207F89" w:rsidP="00207F89">
      <w:pPr>
        <w:widowControl w:val="0"/>
        <w:spacing w:after="0" w:line="0" w:lineRule="atLeast"/>
        <w:ind w:firstLine="68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Статистичні показники про стан здійснення судочинства судом свідчать про те, що робота суду здійснювала</w:t>
      </w:r>
      <w:r w:rsidR="009F0485">
        <w:rPr>
          <w:rFonts w:ascii="Times New Roman" w:eastAsia="Times New Roman" w:hAnsi="Times New Roman" w:cs="Times New Roman"/>
          <w:color w:val="000000"/>
          <w:sz w:val="24"/>
          <w:szCs w:val="24"/>
          <w:lang w:eastAsia="uk-UA" w:bidi="uk-UA"/>
        </w:rPr>
        <w:t>ся в ум</w:t>
      </w:r>
      <w:r w:rsidR="00DC7A06">
        <w:rPr>
          <w:rFonts w:ascii="Times New Roman" w:eastAsia="Times New Roman" w:hAnsi="Times New Roman" w:cs="Times New Roman"/>
          <w:color w:val="000000"/>
          <w:sz w:val="24"/>
          <w:szCs w:val="24"/>
          <w:lang w:eastAsia="uk-UA" w:bidi="uk-UA"/>
        </w:rPr>
        <w:t>овах збільшеного</w:t>
      </w:r>
      <w:r w:rsidRPr="00207F89">
        <w:rPr>
          <w:rFonts w:ascii="Times New Roman" w:eastAsia="Times New Roman" w:hAnsi="Times New Roman" w:cs="Times New Roman"/>
          <w:color w:val="000000"/>
          <w:sz w:val="24"/>
          <w:szCs w:val="24"/>
          <w:lang w:eastAsia="uk-UA" w:bidi="uk-UA"/>
        </w:rPr>
        <w:t xml:space="preserve"> навантаження. Водночас при збільшенні надходження позовних заяв суд не допустив погіршення роботи за основними показниками. Це стосується кількості розглянутих справ та якості їх розгляду</w:t>
      </w:r>
      <w:r w:rsidR="009F0485">
        <w:rPr>
          <w:rFonts w:ascii="Times New Roman" w:eastAsia="Times New Roman" w:hAnsi="Times New Roman" w:cs="Times New Roman"/>
          <w:color w:val="000000"/>
          <w:sz w:val="24"/>
          <w:szCs w:val="24"/>
          <w:lang w:eastAsia="uk-UA" w:bidi="uk-UA"/>
        </w:rPr>
        <w:t>, а саме показник відсотка розглянутих справ, що передбачений Системою оцінювання роботи суду, який становить 91 % та середньої тривалості розгляду справ, що становить 66 днів.</w:t>
      </w:r>
    </w:p>
    <w:p w:rsidR="00207F89" w:rsidRPr="00207F89" w:rsidRDefault="00207F89" w:rsidP="00207F89">
      <w:pPr>
        <w:widowControl w:val="0"/>
        <w:spacing w:after="0" w:line="0" w:lineRule="atLeast"/>
        <w:ind w:firstLine="68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Необхідно відзначити, що організація роботи суду має тенденцію до постійного вдосконалення.</w:t>
      </w:r>
    </w:p>
    <w:p w:rsidR="00207F89" w:rsidRPr="00207F89" w:rsidRDefault="00207F89" w:rsidP="00207F89">
      <w:pPr>
        <w:widowControl w:val="0"/>
        <w:spacing w:after="0" w:line="0" w:lineRule="atLeast"/>
        <w:ind w:firstLine="68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Стабільно високими залишаються показники розгляду позовних з</w:t>
      </w:r>
      <w:r w:rsidR="00DC7A06">
        <w:rPr>
          <w:rFonts w:ascii="Times New Roman" w:eastAsia="Times New Roman" w:hAnsi="Times New Roman" w:cs="Times New Roman"/>
          <w:color w:val="000000"/>
          <w:sz w:val="24"/>
          <w:szCs w:val="24"/>
          <w:lang w:eastAsia="uk-UA" w:bidi="uk-UA"/>
        </w:rPr>
        <w:t>аяв, що перебували на розгляді в</w:t>
      </w:r>
      <w:r w:rsidRPr="00207F89">
        <w:rPr>
          <w:rFonts w:ascii="Times New Roman" w:eastAsia="Times New Roman" w:hAnsi="Times New Roman" w:cs="Times New Roman"/>
          <w:color w:val="000000"/>
          <w:sz w:val="24"/>
          <w:szCs w:val="24"/>
          <w:lang w:eastAsia="uk-UA" w:bidi="uk-UA"/>
        </w:rPr>
        <w:t xml:space="preserve"> суді, покращуються показники розгляду справ з порушеннями строків, передбачених КАСУ.</w:t>
      </w:r>
    </w:p>
    <w:p w:rsidR="00207F89" w:rsidRPr="00207F89" w:rsidRDefault="00207F89" w:rsidP="00207F89">
      <w:pPr>
        <w:widowControl w:val="0"/>
        <w:spacing w:after="0" w:line="0" w:lineRule="atLeast"/>
        <w:ind w:firstLine="68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Систематичний аналіз надходження позовних заяв до суду протягом останніх років свідчи</w:t>
      </w:r>
      <w:r w:rsidR="00DC7A06">
        <w:rPr>
          <w:rFonts w:ascii="Times New Roman" w:eastAsia="Times New Roman" w:hAnsi="Times New Roman" w:cs="Times New Roman"/>
          <w:color w:val="000000"/>
          <w:sz w:val="24"/>
          <w:szCs w:val="24"/>
          <w:lang w:eastAsia="uk-UA" w:bidi="uk-UA"/>
        </w:rPr>
        <w:t>ть, що звернення до суду залишаються</w:t>
      </w:r>
      <w:r w:rsidRPr="00207F89">
        <w:rPr>
          <w:rFonts w:ascii="Times New Roman" w:eastAsia="Times New Roman" w:hAnsi="Times New Roman" w:cs="Times New Roman"/>
          <w:color w:val="000000"/>
          <w:sz w:val="24"/>
          <w:szCs w:val="24"/>
          <w:lang w:eastAsia="uk-UA" w:bidi="uk-UA"/>
        </w:rPr>
        <w:t xml:space="preserve"> для значної кількості громадян важливим засобом вирішення проблем,</w:t>
      </w:r>
      <w:r w:rsidR="00DC7A06">
        <w:rPr>
          <w:rFonts w:ascii="Times New Roman" w:eastAsia="Times New Roman" w:hAnsi="Times New Roman" w:cs="Times New Roman"/>
          <w:color w:val="000000"/>
          <w:sz w:val="24"/>
          <w:szCs w:val="24"/>
          <w:lang w:eastAsia="uk-UA" w:bidi="uk-UA"/>
        </w:rPr>
        <w:t xml:space="preserve"> а також</w:t>
      </w:r>
      <w:r w:rsidRPr="00207F89">
        <w:rPr>
          <w:rFonts w:ascii="Times New Roman" w:eastAsia="Times New Roman" w:hAnsi="Times New Roman" w:cs="Times New Roman"/>
          <w:color w:val="000000"/>
          <w:sz w:val="24"/>
          <w:szCs w:val="24"/>
          <w:lang w:eastAsia="uk-UA" w:bidi="uk-UA"/>
        </w:rPr>
        <w:t xml:space="preserve"> захисту своїх прав та інтересів.</w:t>
      </w:r>
    </w:p>
    <w:p w:rsidR="00207F89" w:rsidRPr="00207F89" w:rsidRDefault="00207F89" w:rsidP="00207F89">
      <w:pPr>
        <w:widowControl w:val="0"/>
        <w:spacing w:after="0" w:line="0" w:lineRule="atLeast"/>
        <w:jc w:val="both"/>
        <w:rPr>
          <w:rFonts w:ascii="Times New Roman" w:eastAsia="Times New Roman" w:hAnsi="Times New Roman" w:cs="Times New Roman"/>
          <w:sz w:val="24"/>
          <w:szCs w:val="24"/>
          <w:lang w:eastAsia="uk-UA"/>
        </w:rPr>
      </w:pPr>
    </w:p>
    <w:p w:rsidR="00207F89" w:rsidRPr="00207F89" w:rsidRDefault="00207F89" w:rsidP="00207F89">
      <w:pPr>
        <w:widowControl w:val="0"/>
        <w:spacing w:after="0" w:line="0" w:lineRule="atLeast"/>
        <w:jc w:val="both"/>
        <w:rPr>
          <w:rFonts w:ascii="Times New Roman" w:eastAsia="Times New Roman" w:hAnsi="Times New Roman" w:cs="Times New Roman"/>
          <w:color w:val="000000"/>
          <w:sz w:val="24"/>
          <w:szCs w:val="24"/>
          <w:lang w:eastAsia="uk-UA" w:bidi="uk-UA"/>
        </w:rPr>
      </w:pPr>
    </w:p>
    <w:p w:rsidR="00207F89" w:rsidRPr="00207F89" w:rsidRDefault="00207F89" w:rsidP="00207F89">
      <w:pPr>
        <w:widowControl w:val="0"/>
        <w:spacing w:after="0" w:line="0" w:lineRule="atLeast"/>
        <w:jc w:val="both"/>
        <w:rPr>
          <w:rFonts w:ascii="Times New Roman" w:eastAsia="Times New Roman" w:hAnsi="Times New Roman" w:cs="Times New Roman"/>
          <w:color w:val="000000"/>
          <w:sz w:val="24"/>
          <w:szCs w:val="24"/>
          <w:lang w:eastAsia="uk-UA" w:bidi="uk-UA"/>
        </w:rPr>
      </w:pPr>
    </w:p>
    <w:p w:rsidR="00207F89" w:rsidRPr="00207F89" w:rsidRDefault="00207F89" w:rsidP="00207F89">
      <w:pPr>
        <w:widowControl w:val="0"/>
        <w:spacing w:after="0" w:line="0" w:lineRule="atLeast"/>
        <w:jc w:val="both"/>
        <w:rPr>
          <w:rFonts w:ascii="Times New Roman" w:eastAsia="Times New Roman" w:hAnsi="Times New Roman" w:cs="Times New Roman"/>
          <w:color w:val="000000"/>
          <w:sz w:val="24"/>
          <w:szCs w:val="24"/>
          <w:lang w:eastAsia="uk-UA" w:bidi="uk-UA"/>
        </w:rPr>
      </w:pPr>
    </w:p>
    <w:p w:rsidR="00207F89" w:rsidRPr="00207F89" w:rsidRDefault="00207F89" w:rsidP="00207F89">
      <w:pPr>
        <w:widowControl w:val="0"/>
        <w:spacing w:after="0" w:line="0" w:lineRule="atLeast"/>
        <w:rPr>
          <w:rFonts w:ascii="Times New Roman" w:eastAsia="Times New Roman" w:hAnsi="Times New Roman" w:cs="Times New Roman"/>
          <w:b/>
          <w:bCs/>
          <w:color w:val="000000"/>
          <w:sz w:val="28"/>
          <w:szCs w:val="28"/>
          <w:lang w:eastAsia="uk-UA" w:bidi="uk-UA"/>
        </w:rPr>
      </w:pPr>
      <w:r w:rsidRPr="00207F89">
        <w:rPr>
          <w:rFonts w:ascii="Times New Roman" w:eastAsia="Times New Roman" w:hAnsi="Times New Roman" w:cs="Times New Roman"/>
          <w:b/>
          <w:bCs/>
          <w:color w:val="000000"/>
          <w:sz w:val="24"/>
          <w:szCs w:val="24"/>
          <w:lang w:eastAsia="uk-UA" w:bidi="uk-UA"/>
        </w:rPr>
        <w:tab/>
      </w:r>
      <w:r w:rsidRPr="00207F89">
        <w:rPr>
          <w:rFonts w:ascii="Times New Roman" w:eastAsia="Times New Roman" w:hAnsi="Times New Roman" w:cs="Times New Roman"/>
          <w:b/>
          <w:bCs/>
          <w:color w:val="000000"/>
          <w:sz w:val="28"/>
          <w:szCs w:val="28"/>
          <w:lang w:eastAsia="uk-UA" w:bidi="uk-UA"/>
        </w:rPr>
        <w:t>Начальник відділу</w:t>
      </w:r>
    </w:p>
    <w:p w:rsidR="00207F89" w:rsidRPr="00207F89" w:rsidRDefault="00207F89" w:rsidP="00207F89">
      <w:pPr>
        <w:widowControl w:val="0"/>
        <w:spacing w:after="0" w:line="0" w:lineRule="atLeast"/>
        <w:ind w:firstLine="708"/>
        <w:rPr>
          <w:rFonts w:ascii="Times New Roman" w:eastAsia="Times New Roman" w:hAnsi="Times New Roman" w:cs="Times New Roman"/>
          <w:b/>
          <w:bCs/>
          <w:color w:val="000000"/>
          <w:sz w:val="28"/>
          <w:szCs w:val="28"/>
          <w:lang w:eastAsia="uk-UA" w:bidi="uk-UA"/>
        </w:rPr>
      </w:pPr>
      <w:r w:rsidRPr="00207F89">
        <w:rPr>
          <w:rFonts w:ascii="Times New Roman" w:eastAsia="Times New Roman" w:hAnsi="Times New Roman" w:cs="Times New Roman"/>
          <w:b/>
          <w:bCs/>
          <w:color w:val="000000"/>
          <w:sz w:val="28"/>
          <w:szCs w:val="28"/>
          <w:lang w:eastAsia="uk-UA" w:bidi="uk-UA"/>
        </w:rPr>
        <w:t xml:space="preserve">кодифікації та </w:t>
      </w:r>
      <w:proofErr w:type="spellStart"/>
      <w:r w:rsidRPr="00207F89">
        <w:rPr>
          <w:rFonts w:ascii="Times New Roman" w:eastAsia="Times New Roman" w:hAnsi="Times New Roman" w:cs="Times New Roman"/>
          <w:b/>
          <w:bCs/>
          <w:color w:val="000000"/>
          <w:sz w:val="28"/>
          <w:szCs w:val="28"/>
          <w:lang w:eastAsia="uk-UA" w:bidi="uk-UA"/>
        </w:rPr>
        <w:t>статзвітності</w:t>
      </w:r>
      <w:proofErr w:type="spellEnd"/>
      <w:r w:rsidR="009F0485">
        <w:rPr>
          <w:rFonts w:ascii="Times New Roman" w:eastAsia="Times New Roman" w:hAnsi="Times New Roman" w:cs="Times New Roman"/>
          <w:b/>
          <w:bCs/>
          <w:color w:val="000000"/>
          <w:sz w:val="28"/>
          <w:szCs w:val="28"/>
          <w:lang w:eastAsia="uk-UA" w:bidi="uk-UA"/>
        </w:rPr>
        <w:t xml:space="preserve">                                 </w:t>
      </w:r>
      <w:proofErr w:type="spellStart"/>
      <w:r w:rsidRPr="00207F89">
        <w:rPr>
          <w:rFonts w:ascii="Times New Roman" w:eastAsia="Times New Roman" w:hAnsi="Times New Roman" w:cs="Times New Roman"/>
          <w:b/>
          <w:bCs/>
          <w:color w:val="000000"/>
          <w:sz w:val="28"/>
          <w:szCs w:val="28"/>
          <w:lang w:eastAsia="uk-UA" w:bidi="uk-UA"/>
        </w:rPr>
        <w:t>Стецик</w:t>
      </w:r>
      <w:proofErr w:type="spellEnd"/>
      <w:r w:rsidRPr="00207F89">
        <w:rPr>
          <w:rFonts w:ascii="Times New Roman" w:eastAsia="Times New Roman" w:hAnsi="Times New Roman" w:cs="Times New Roman"/>
          <w:b/>
          <w:bCs/>
          <w:color w:val="000000"/>
          <w:sz w:val="28"/>
          <w:szCs w:val="28"/>
          <w:lang w:eastAsia="uk-UA" w:bidi="uk-UA"/>
        </w:rPr>
        <w:t xml:space="preserve"> О.Ю.</w:t>
      </w:r>
    </w:p>
    <w:p w:rsidR="00207F89" w:rsidRPr="00207F89" w:rsidRDefault="00207F89" w:rsidP="00207F89">
      <w:pPr>
        <w:widowControl w:val="0"/>
        <w:spacing w:after="0" w:line="0" w:lineRule="atLeast"/>
        <w:rPr>
          <w:rFonts w:ascii="Times New Roman" w:eastAsia="Times New Roman" w:hAnsi="Times New Roman" w:cs="Times New Roman"/>
          <w:b/>
          <w:bCs/>
          <w:color w:val="000000"/>
          <w:sz w:val="24"/>
          <w:szCs w:val="24"/>
          <w:lang w:eastAsia="uk-UA" w:bidi="uk-UA"/>
        </w:rPr>
      </w:pPr>
    </w:p>
    <w:p w:rsidR="00207F89" w:rsidRPr="00207F89" w:rsidRDefault="00207F89" w:rsidP="00207F89">
      <w:pPr>
        <w:widowControl w:val="0"/>
        <w:spacing w:after="0" w:line="0" w:lineRule="atLeast"/>
        <w:rPr>
          <w:rFonts w:ascii="Times New Roman" w:eastAsia="Times New Roman" w:hAnsi="Times New Roman" w:cs="Times New Roman"/>
          <w:b/>
          <w:bCs/>
          <w:color w:val="000000"/>
          <w:sz w:val="26"/>
          <w:szCs w:val="26"/>
          <w:lang w:eastAsia="uk-UA" w:bidi="uk-UA"/>
        </w:rPr>
      </w:pPr>
    </w:p>
    <w:p w:rsidR="00207F89" w:rsidRPr="00207F89" w:rsidRDefault="00207F89" w:rsidP="00207F89">
      <w:pPr>
        <w:widowControl w:val="0"/>
        <w:spacing w:after="0" w:line="0" w:lineRule="atLeast"/>
        <w:rPr>
          <w:rFonts w:ascii="Times New Roman" w:eastAsia="Times New Roman" w:hAnsi="Times New Roman" w:cs="Times New Roman"/>
          <w:b/>
          <w:bCs/>
          <w:color w:val="000000"/>
          <w:sz w:val="26"/>
          <w:szCs w:val="26"/>
          <w:lang w:eastAsia="uk-UA" w:bidi="uk-UA"/>
        </w:rPr>
      </w:pPr>
    </w:p>
    <w:p w:rsidR="00207F89" w:rsidRPr="00207F89" w:rsidRDefault="00207F89" w:rsidP="00207F89">
      <w:pPr>
        <w:widowControl w:val="0"/>
        <w:spacing w:after="0" w:line="0" w:lineRule="atLeast"/>
        <w:rPr>
          <w:rFonts w:ascii="Times New Roman" w:eastAsia="Times New Roman" w:hAnsi="Times New Roman" w:cs="Times New Roman"/>
          <w:b/>
          <w:bCs/>
          <w:color w:val="000000"/>
          <w:sz w:val="26"/>
          <w:szCs w:val="26"/>
          <w:lang w:eastAsia="uk-UA" w:bidi="uk-UA"/>
        </w:rPr>
      </w:pPr>
    </w:p>
    <w:p w:rsidR="00207F89" w:rsidRPr="00207F89" w:rsidRDefault="00207F89" w:rsidP="00207F89">
      <w:pPr>
        <w:widowControl w:val="0"/>
        <w:spacing w:after="0" w:line="0" w:lineRule="atLeast"/>
        <w:ind w:right="8740"/>
        <w:rPr>
          <w:rFonts w:ascii="Times New Roman" w:eastAsia="Times New Roman" w:hAnsi="Times New Roman" w:cs="Times New Roman"/>
          <w:color w:val="000000"/>
          <w:sz w:val="15"/>
          <w:szCs w:val="15"/>
          <w:lang w:eastAsia="uk-UA" w:bidi="uk-UA"/>
        </w:rPr>
      </w:pPr>
      <w:r w:rsidRPr="00207F89">
        <w:rPr>
          <w:rFonts w:ascii="Times New Roman" w:eastAsia="Times New Roman" w:hAnsi="Times New Roman" w:cs="Times New Roman"/>
          <w:b/>
          <w:bCs/>
          <w:color w:val="000000"/>
          <w:sz w:val="15"/>
          <w:szCs w:val="15"/>
          <w:lang w:eastAsia="uk-UA" w:bidi="uk-UA"/>
        </w:rPr>
        <w:t>(</w:t>
      </w:r>
      <w:r w:rsidRPr="00207F89">
        <w:rPr>
          <w:rFonts w:ascii="Times New Roman" w:eastAsia="Times New Roman" w:hAnsi="Times New Roman" w:cs="Times New Roman"/>
          <w:color w:val="000000"/>
          <w:sz w:val="15"/>
          <w:szCs w:val="15"/>
          <w:lang w:eastAsia="uk-UA" w:bidi="uk-UA"/>
        </w:rPr>
        <w:t>032</w:t>
      </w:r>
      <w:r w:rsidRPr="00207F89">
        <w:rPr>
          <w:rFonts w:ascii="Times New Roman" w:eastAsia="Times New Roman" w:hAnsi="Times New Roman" w:cs="Times New Roman"/>
          <w:b/>
          <w:bCs/>
          <w:color w:val="000000"/>
          <w:sz w:val="15"/>
          <w:szCs w:val="15"/>
          <w:lang w:eastAsia="uk-UA" w:bidi="uk-UA"/>
        </w:rPr>
        <w:t>)</w:t>
      </w:r>
      <w:r w:rsidRPr="00207F89">
        <w:rPr>
          <w:rFonts w:ascii="Times New Roman" w:eastAsia="Times New Roman" w:hAnsi="Times New Roman" w:cs="Times New Roman"/>
          <w:color w:val="000000"/>
          <w:sz w:val="15"/>
          <w:szCs w:val="15"/>
          <w:lang w:eastAsia="uk-UA" w:bidi="uk-UA"/>
        </w:rPr>
        <w:t>261</w:t>
      </w:r>
      <w:r w:rsidRPr="00207F89">
        <w:rPr>
          <w:rFonts w:ascii="Times New Roman" w:eastAsia="Times New Roman" w:hAnsi="Times New Roman" w:cs="Times New Roman"/>
          <w:b/>
          <w:bCs/>
          <w:color w:val="000000"/>
          <w:sz w:val="15"/>
          <w:szCs w:val="15"/>
          <w:lang w:eastAsia="uk-UA" w:bidi="uk-UA"/>
        </w:rPr>
        <w:t>-</w:t>
      </w:r>
      <w:r w:rsidRPr="00207F89">
        <w:rPr>
          <w:rFonts w:ascii="Times New Roman" w:eastAsia="Times New Roman" w:hAnsi="Times New Roman" w:cs="Times New Roman"/>
          <w:color w:val="000000"/>
          <w:sz w:val="15"/>
          <w:szCs w:val="15"/>
          <w:lang w:eastAsia="uk-UA" w:bidi="uk-UA"/>
        </w:rPr>
        <w:t>38-53</w:t>
      </w:r>
    </w:p>
    <w:p w:rsidR="00207F89" w:rsidRPr="00207F89" w:rsidRDefault="00207F89" w:rsidP="00207F89">
      <w:pPr>
        <w:widowControl w:val="0"/>
        <w:spacing w:after="0" w:line="240" w:lineRule="auto"/>
        <w:jc w:val="both"/>
        <w:rPr>
          <w:rFonts w:ascii="Times New Roman" w:eastAsia="Arial Unicode MS" w:hAnsi="Times New Roman" w:cs="Times New Roman"/>
          <w:color w:val="000000"/>
          <w:sz w:val="18"/>
          <w:szCs w:val="18"/>
          <w:lang w:eastAsia="uk-UA" w:bidi="uk-UA"/>
        </w:rPr>
      </w:pPr>
      <w:r w:rsidRPr="00207F89">
        <w:rPr>
          <w:rFonts w:ascii="Times New Roman" w:eastAsia="Arial Unicode MS" w:hAnsi="Times New Roman" w:cs="Times New Roman"/>
          <w:color w:val="000000"/>
          <w:sz w:val="18"/>
          <w:szCs w:val="18"/>
          <w:lang w:eastAsia="uk-UA" w:bidi="uk-UA"/>
        </w:rPr>
        <w:t>stat@adm.lv.court.gov.ua</w:t>
      </w:r>
    </w:p>
    <w:p w:rsidR="00207F89" w:rsidRPr="00207F89" w:rsidRDefault="00207F89" w:rsidP="00207F89">
      <w:pPr>
        <w:widowControl w:val="0"/>
        <w:spacing w:after="0" w:line="0" w:lineRule="atLeast"/>
        <w:ind w:right="8740"/>
        <w:rPr>
          <w:rFonts w:ascii="Times New Roman" w:eastAsia="Times New Roman" w:hAnsi="Times New Roman" w:cs="Times New Roman"/>
          <w:color w:val="000000"/>
          <w:sz w:val="15"/>
          <w:szCs w:val="15"/>
          <w:lang w:eastAsia="uk-UA" w:bidi="uk-UA"/>
        </w:rPr>
      </w:pPr>
    </w:p>
    <w:p w:rsidR="008F033D" w:rsidRDefault="008F033D"/>
    <w:sectPr w:rsidR="008F033D" w:rsidSect="004815C0">
      <w:pgSz w:w="11900" w:h="16840"/>
      <w:pgMar w:top="709" w:right="560" w:bottom="426" w:left="133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659D"/>
    <w:multiLevelType w:val="hybridMultilevel"/>
    <w:tmpl w:val="422C197C"/>
    <w:lvl w:ilvl="0" w:tplc="AFFE10DC">
      <w:start w:val="4"/>
      <w:numFmt w:val="upperRoman"/>
      <w:lvlText w:val="%1."/>
      <w:lvlJc w:val="left"/>
      <w:pPr>
        <w:ind w:left="2160" w:hanging="72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
    <w:nsid w:val="1F787627"/>
    <w:multiLevelType w:val="hybridMultilevel"/>
    <w:tmpl w:val="1ABE4E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651B10"/>
    <w:multiLevelType w:val="hybridMultilevel"/>
    <w:tmpl w:val="422C197C"/>
    <w:lvl w:ilvl="0" w:tplc="AFFE10DC">
      <w:start w:val="4"/>
      <w:numFmt w:val="upperRoman"/>
      <w:lvlText w:val="%1."/>
      <w:lvlJc w:val="left"/>
      <w:pPr>
        <w:ind w:left="2160" w:hanging="72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nsid w:val="3C1E0AC7"/>
    <w:multiLevelType w:val="hybridMultilevel"/>
    <w:tmpl w:val="422C197C"/>
    <w:lvl w:ilvl="0" w:tplc="AFFE10DC">
      <w:start w:val="4"/>
      <w:numFmt w:val="upperRoman"/>
      <w:lvlText w:val="%1."/>
      <w:lvlJc w:val="left"/>
      <w:pPr>
        <w:ind w:left="2160" w:hanging="72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42E05710"/>
    <w:multiLevelType w:val="multilevel"/>
    <w:tmpl w:val="22A430D4"/>
    <w:lvl w:ilvl="0">
      <w:start w:val="1"/>
      <w:numFmt w:val="decimal"/>
      <w:lvlText w:val="%1."/>
      <w:lvlJc w:val="left"/>
      <w:pPr>
        <w:ind w:left="720" w:hanging="360"/>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58E1CB3"/>
    <w:multiLevelType w:val="hybridMultilevel"/>
    <w:tmpl w:val="86227122"/>
    <w:lvl w:ilvl="0" w:tplc="C2F6038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8BF0354"/>
    <w:multiLevelType w:val="multilevel"/>
    <w:tmpl w:val="B0286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B07444"/>
    <w:multiLevelType w:val="hybridMultilevel"/>
    <w:tmpl w:val="4FA039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40D2DF3"/>
    <w:multiLevelType w:val="hybridMultilevel"/>
    <w:tmpl w:val="9EDA9442"/>
    <w:lvl w:ilvl="0" w:tplc="D0E6C7EE">
      <w:numFmt w:val="bullet"/>
      <w:lvlText w:val="-"/>
      <w:lvlJc w:val="left"/>
      <w:pPr>
        <w:ind w:left="1140" w:hanging="360"/>
      </w:pPr>
      <w:rPr>
        <w:rFonts w:ascii="Times New Roman" w:eastAsia="Times New Roman" w:hAnsi="Times New Roman" w:cs="Times New Roman" w:hint="default"/>
        <w:color w:val="auto"/>
        <w:sz w:val="22"/>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9">
    <w:nsid w:val="6A382D86"/>
    <w:multiLevelType w:val="hybridMultilevel"/>
    <w:tmpl w:val="ECDC7018"/>
    <w:lvl w:ilvl="0" w:tplc="7018EB7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8214CC0"/>
    <w:multiLevelType w:val="hybridMultilevel"/>
    <w:tmpl w:val="D6144EB8"/>
    <w:lvl w:ilvl="0" w:tplc="FFB43A6E">
      <w:start w:val="20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7"/>
  </w:num>
  <w:num w:numId="5">
    <w:abstractNumId w:val="1"/>
  </w:num>
  <w:num w:numId="6">
    <w:abstractNumId w:val="5"/>
  </w:num>
  <w:num w:numId="7">
    <w:abstractNumId w:val="8"/>
  </w:num>
  <w:num w:numId="8">
    <w:abstractNumId w:val="4"/>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A105A"/>
    <w:rsid w:val="0000092C"/>
    <w:rsid w:val="00015E4E"/>
    <w:rsid w:val="00017D91"/>
    <w:rsid w:val="000201C7"/>
    <w:rsid w:val="00026D42"/>
    <w:rsid w:val="000327D4"/>
    <w:rsid w:val="00042347"/>
    <w:rsid w:val="00043B32"/>
    <w:rsid w:val="00047AD7"/>
    <w:rsid w:val="000507EE"/>
    <w:rsid w:val="00064D2D"/>
    <w:rsid w:val="00067CA9"/>
    <w:rsid w:val="00072B99"/>
    <w:rsid w:val="00074B1C"/>
    <w:rsid w:val="00093178"/>
    <w:rsid w:val="000A13B1"/>
    <w:rsid w:val="000A3862"/>
    <w:rsid w:val="000B09C3"/>
    <w:rsid w:val="000B4C61"/>
    <w:rsid w:val="000B673D"/>
    <w:rsid w:val="000B6D77"/>
    <w:rsid w:val="000C1D53"/>
    <w:rsid w:val="000C4823"/>
    <w:rsid w:val="000C5827"/>
    <w:rsid w:val="000C77C7"/>
    <w:rsid w:val="000D0F36"/>
    <w:rsid w:val="000D3F6B"/>
    <w:rsid w:val="000D499A"/>
    <w:rsid w:val="000D555C"/>
    <w:rsid w:val="000E3B05"/>
    <w:rsid w:val="000E4439"/>
    <w:rsid w:val="000F0149"/>
    <w:rsid w:val="000F4FC1"/>
    <w:rsid w:val="000F7AD3"/>
    <w:rsid w:val="001055CE"/>
    <w:rsid w:val="00115C80"/>
    <w:rsid w:val="00116F9A"/>
    <w:rsid w:val="00120382"/>
    <w:rsid w:val="001210BC"/>
    <w:rsid w:val="001235FB"/>
    <w:rsid w:val="00125D3B"/>
    <w:rsid w:val="0015369E"/>
    <w:rsid w:val="00154F08"/>
    <w:rsid w:val="00156307"/>
    <w:rsid w:val="00160040"/>
    <w:rsid w:val="001704D5"/>
    <w:rsid w:val="00175F05"/>
    <w:rsid w:val="0018039E"/>
    <w:rsid w:val="00182534"/>
    <w:rsid w:val="0018295E"/>
    <w:rsid w:val="00185042"/>
    <w:rsid w:val="001962A8"/>
    <w:rsid w:val="001B0752"/>
    <w:rsid w:val="001B103D"/>
    <w:rsid w:val="001B680B"/>
    <w:rsid w:val="001C348E"/>
    <w:rsid w:val="001D0296"/>
    <w:rsid w:val="001D22ED"/>
    <w:rsid w:val="001D5622"/>
    <w:rsid w:val="001E3A66"/>
    <w:rsid w:val="001F09D8"/>
    <w:rsid w:val="0020238F"/>
    <w:rsid w:val="002031F6"/>
    <w:rsid w:val="0020502A"/>
    <w:rsid w:val="00206C91"/>
    <w:rsid w:val="00206E13"/>
    <w:rsid w:val="00207F89"/>
    <w:rsid w:val="002117E3"/>
    <w:rsid w:val="00212A8B"/>
    <w:rsid w:val="00220758"/>
    <w:rsid w:val="0024179E"/>
    <w:rsid w:val="00243590"/>
    <w:rsid w:val="002443E1"/>
    <w:rsid w:val="002459E2"/>
    <w:rsid w:val="00254BAE"/>
    <w:rsid w:val="00272CD7"/>
    <w:rsid w:val="002828FD"/>
    <w:rsid w:val="002859BE"/>
    <w:rsid w:val="002874E7"/>
    <w:rsid w:val="00287608"/>
    <w:rsid w:val="00290CA1"/>
    <w:rsid w:val="00295497"/>
    <w:rsid w:val="00296430"/>
    <w:rsid w:val="002A0F01"/>
    <w:rsid w:val="002A7FA4"/>
    <w:rsid w:val="002B5EE3"/>
    <w:rsid w:val="002B7368"/>
    <w:rsid w:val="002C0AB4"/>
    <w:rsid w:val="002C17E2"/>
    <w:rsid w:val="002D1B97"/>
    <w:rsid w:val="002D1DC8"/>
    <w:rsid w:val="002D282B"/>
    <w:rsid w:val="002D398D"/>
    <w:rsid w:val="002D63CF"/>
    <w:rsid w:val="002E56F2"/>
    <w:rsid w:val="002E766E"/>
    <w:rsid w:val="002E7F5D"/>
    <w:rsid w:val="002F03F4"/>
    <w:rsid w:val="002F337F"/>
    <w:rsid w:val="00300205"/>
    <w:rsid w:val="0031013A"/>
    <w:rsid w:val="00315460"/>
    <w:rsid w:val="003158B7"/>
    <w:rsid w:val="00317934"/>
    <w:rsid w:val="00323A90"/>
    <w:rsid w:val="00323D22"/>
    <w:rsid w:val="00324EAF"/>
    <w:rsid w:val="00326D5F"/>
    <w:rsid w:val="00330F29"/>
    <w:rsid w:val="00331953"/>
    <w:rsid w:val="00333430"/>
    <w:rsid w:val="00336337"/>
    <w:rsid w:val="0034237E"/>
    <w:rsid w:val="003515F5"/>
    <w:rsid w:val="00351857"/>
    <w:rsid w:val="0035495A"/>
    <w:rsid w:val="003555A2"/>
    <w:rsid w:val="003706DA"/>
    <w:rsid w:val="003709D3"/>
    <w:rsid w:val="00371A96"/>
    <w:rsid w:val="00382AD2"/>
    <w:rsid w:val="003836C6"/>
    <w:rsid w:val="003968A7"/>
    <w:rsid w:val="003975A6"/>
    <w:rsid w:val="003A1EAF"/>
    <w:rsid w:val="003A50DF"/>
    <w:rsid w:val="003A58B1"/>
    <w:rsid w:val="003A7578"/>
    <w:rsid w:val="003B2860"/>
    <w:rsid w:val="003E0ACC"/>
    <w:rsid w:val="003E195C"/>
    <w:rsid w:val="003E64C3"/>
    <w:rsid w:val="003F0730"/>
    <w:rsid w:val="003F21A0"/>
    <w:rsid w:val="00405E2A"/>
    <w:rsid w:val="004065B5"/>
    <w:rsid w:val="00407730"/>
    <w:rsid w:val="00415A57"/>
    <w:rsid w:val="00432E07"/>
    <w:rsid w:val="00437C26"/>
    <w:rsid w:val="004428E2"/>
    <w:rsid w:val="00442E08"/>
    <w:rsid w:val="004464B6"/>
    <w:rsid w:val="00455D14"/>
    <w:rsid w:val="0046039C"/>
    <w:rsid w:val="00466F94"/>
    <w:rsid w:val="00470E7A"/>
    <w:rsid w:val="004760D4"/>
    <w:rsid w:val="004815C0"/>
    <w:rsid w:val="004846B1"/>
    <w:rsid w:val="00486F7C"/>
    <w:rsid w:val="004956EA"/>
    <w:rsid w:val="00497516"/>
    <w:rsid w:val="004A1DA5"/>
    <w:rsid w:val="004A1FDA"/>
    <w:rsid w:val="004A41BB"/>
    <w:rsid w:val="004B2CEF"/>
    <w:rsid w:val="004B42F9"/>
    <w:rsid w:val="004B6F39"/>
    <w:rsid w:val="004C1188"/>
    <w:rsid w:val="004C32E0"/>
    <w:rsid w:val="004D109B"/>
    <w:rsid w:val="004D5070"/>
    <w:rsid w:val="004D6A2F"/>
    <w:rsid w:val="004E184F"/>
    <w:rsid w:val="004F1559"/>
    <w:rsid w:val="004F3F63"/>
    <w:rsid w:val="004F701E"/>
    <w:rsid w:val="00500CFD"/>
    <w:rsid w:val="0050150C"/>
    <w:rsid w:val="00512422"/>
    <w:rsid w:val="00512A46"/>
    <w:rsid w:val="00516E5D"/>
    <w:rsid w:val="0052552B"/>
    <w:rsid w:val="005463EF"/>
    <w:rsid w:val="00562B74"/>
    <w:rsid w:val="0056471E"/>
    <w:rsid w:val="0056757D"/>
    <w:rsid w:val="00573E95"/>
    <w:rsid w:val="005826D6"/>
    <w:rsid w:val="005862B7"/>
    <w:rsid w:val="00593175"/>
    <w:rsid w:val="0059554A"/>
    <w:rsid w:val="005A6D90"/>
    <w:rsid w:val="005B74C4"/>
    <w:rsid w:val="005D42E5"/>
    <w:rsid w:val="005E33E3"/>
    <w:rsid w:val="005E5B37"/>
    <w:rsid w:val="005F2911"/>
    <w:rsid w:val="0060229C"/>
    <w:rsid w:val="00603C5E"/>
    <w:rsid w:val="006447DE"/>
    <w:rsid w:val="00645A2F"/>
    <w:rsid w:val="00652E9D"/>
    <w:rsid w:val="006576ED"/>
    <w:rsid w:val="00661BF1"/>
    <w:rsid w:val="006627D7"/>
    <w:rsid w:val="00663117"/>
    <w:rsid w:val="0066320A"/>
    <w:rsid w:val="00664997"/>
    <w:rsid w:val="00666237"/>
    <w:rsid w:val="00666BD6"/>
    <w:rsid w:val="0066706E"/>
    <w:rsid w:val="00671009"/>
    <w:rsid w:val="0067374F"/>
    <w:rsid w:val="0067674F"/>
    <w:rsid w:val="00677181"/>
    <w:rsid w:val="00680723"/>
    <w:rsid w:val="00680A00"/>
    <w:rsid w:val="00682787"/>
    <w:rsid w:val="00692979"/>
    <w:rsid w:val="00693E89"/>
    <w:rsid w:val="00694C38"/>
    <w:rsid w:val="006A14B9"/>
    <w:rsid w:val="006C140A"/>
    <w:rsid w:val="006D005F"/>
    <w:rsid w:val="006D4360"/>
    <w:rsid w:val="006D5121"/>
    <w:rsid w:val="006D6395"/>
    <w:rsid w:val="006E04AF"/>
    <w:rsid w:val="006E3576"/>
    <w:rsid w:val="006F0E8A"/>
    <w:rsid w:val="006F5BC1"/>
    <w:rsid w:val="0070696F"/>
    <w:rsid w:val="00707022"/>
    <w:rsid w:val="00710BF6"/>
    <w:rsid w:val="00712B14"/>
    <w:rsid w:val="00722730"/>
    <w:rsid w:val="00730446"/>
    <w:rsid w:val="007422B4"/>
    <w:rsid w:val="00743031"/>
    <w:rsid w:val="0074480B"/>
    <w:rsid w:val="007476A1"/>
    <w:rsid w:val="00750C9A"/>
    <w:rsid w:val="0075189B"/>
    <w:rsid w:val="007559A3"/>
    <w:rsid w:val="00756BC2"/>
    <w:rsid w:val="00757925"/>
    <w:rsid w:val="00770962"/>
    <w:rsid w:val="00770D90"/>
    <w:rsid w:val="00771D1F"/>
    <w:rsid w:val="00772258"/>
    <w:rsid w:val="00774AC4"/>
    <w:rsid w:val="00781F3C"/>
    <w:rsid w:val="00791554"/>
    <w:rsid w:val="00794EB5"/>
    <w:rsid w:val="007A04E1"/>
    <w:rsid w:val="007A6E8D"/>
    <w:rsid w:val="007B29F3"/>
    <w:rsid w:val="007B443B"/>
    <w:rsid w:val="007B617C"/>
    <w:rsid w:val="007B71F1"/>
    <w:rsid w:val="007B7A64"/>
    <w:rsid w:val="007C1504"/>
    <w:rsid w:val="007E4D8D"/>
    <w:rsid w:val="007F0F34"/>
    <w:rsid w:val="007F2671"/>
    <w:rsid w:val="007F67FB"/>
    <w:rsid w:val="0080300D"/>
    <w:rsid w:val="00806D55"/>
    <w:rsid w:val="0080731B"/>
    <w:rsid w:val="0081601A"/>
    <w:rsid w:val="00824539"/>
    <w:rsid w:val="008321FE"/>
    <w:rsid w:val="008342AB"/>
    <w:rsid w:val="00835CBE"/>
    <w:rsid w:val="00836442"/>
    <w:rsid w:val="008426DB"/>
    <w:rsid w:val="00843699"/>
    <w:rsid w:val="00844D6D"/>
    <w:rsid w:val="00855BD7"/>
    <w:rsid w:val="008657E0"/>
    <w:rsid w:val="00871A61"/>
    <w:rsid w:val="00871E18"/>
    <w:rsid w:val="00877389"/>
    <w:rsid w:val="00877F19"/>
    <w:rsid w:val="00891C88"/>
    <w:rsid w:val="00896CD6"/>
    <w:rsid w:val="008977AD"/>
    <w:rsid w:val="008A1197"/>
    <w:rsid w:val="008A2324"/>
    <w:rsid w:val="008A6FF0"/>
    <w:rsid w:val="008B432A"/>
    <w:rsid w:val="008B4613"/>
    <w:rsid w:val="008B6EDB"/>
    <w:rsid w:val="008C6061"/>
    <w:rsid w:val="008C62F9"/>
    <w:rsid w:val="008D253B"/>
    <w:rsid w:val="008D436B"/>
    <w:rsid w:val="008E36B4"/>
    <w:rsid w:val="008F033D"/>
    <w:rsid w:val="00901918"/>
    <w:rsid w:val="00906026"/>
    <w:rsid w:val="00906CB0"/>
    <w:rsid w:val="009114D3"/>
    <w:rsid w:val="00912E2F"/>
    <w:rsid w:val="009172C4"/>
    <w:rsid w:val="0092467F"/>
    <w:rsid w:val="0093020C"/>
    <w:rsid w:val="00932893"/>
    <w:rsid w:val="00932E34"/>
    <w:rsid w:val="009371D4"/>
    <w:rsid w:val="0094020C"/>
    <w:rsid w:val="00951D1C"/>
    <w:rsid w:val="009530B9"/>
    <w:rsid w:val="0095584D"/>
    <w:rsid w:val="009702E1"/>
    <w:rsid w:val="0097491B"/>
    <w:rsid w:val="00990391"/>
    <w:rsid w:val="00990B9B"/>
    <w:rsid w:val="00992150"/>
    <w:rsid w:val="00995B39"/>
    <w:rsid w:val="009A105A"/>
    <w:rsid w:val="009A227E"/>
    <w:rsid w:val="009B0E6E"/>
    <w:rsid w:val="009B7FD6"/>
    <w:rsid w:val="009B7FFD"/>
    <w:rsid w:val="009D6355"/>
    <w:rsid w:val="009D78B1"/>
    <w:rsid w:val="009E08B8"/>
    <w:rsid w:val="009E2B72"/>
    <w:rsid w:val="009E5AAE"/>
    <w:rsid w:val="009F0485"/>
    <w:rsid w:val="009F1D1F"/>
    <w:rsid w:val="009F3556"/>
    <w:rsid w:val="009F4D5C"/>
    <w:rsid w:val="00A00819"/>
    <w:rsid w:val="00A01D4E"/>
    <w:rsid w:val="00A1210C"/>
    <w:rsid w:val="00A12C94"/>
    <w:rsid w:val="00A14776"/>
    <w:rsid w:val="00A150E6"/>
    <w:rsid w:val="00A2168C"/>
    <w:rsid w:val="00A2568C"/>
    <w:rsid w:val="00A27B90"/>
    <w:rsid w:val="00A33992"/>
    <w:rsid w:val="00A4042D"/>
    <w:rsid w:val="00A53ABD"/>
    <w:rsid w:val="00A544C4"/>
    <w:rsid w:val="00A55080"/>
    <w:rsid w:val="00A609CC"/>
    <w:rsid w:val="00A60B13"/>
    <w:rsid w:val="00A61A2C"/>
    <w:rsid w:val="00A6662C"/>
    <w:rsid w:val="00A71883"/>
    <w:rsid w:val="00A73BE8"/>
    <w:rsid w:val="00A74601"/>
    <w:rsid w:val="00A75582"/>
    <w:rsid w:val="00A81EB8"/>
    <w:rsid w:val="00A872BF"/>
    <w:rsid w:val="00A94B7F"/>
    <w:rsid w:val="00A9632A"/>
    <w:rsid w:val="00AA2696"/>
    <w:rsid w:val="00AA2CB4"/>
    <w:rsid w:val="00AA6C80"/>
    <w:rsid w:val="00AB17A1"/>
    <w:rsid w:val="00AB337B"/>
    <w:rsid w:val="00AB6D71"/>
    <w:rsid w:val="00AC5666"/>
    <w:rsid w:val="00AC59CC"/>
    <w:rsid w:val="00AC6B7A"/>
    <w:rsid w:val="00AD25AA"/>
    <w:rsid w:val="00AD3029"/>
    <w:rsid w:val="00AF7147"/>
    <w:rsid w:val="00AF7443"/>
    <w:rsid w:val="00B01D30"/>
    <w:rsid w:val="00B021BB"/>
    <w:rsid w:val="00B05304"/>
    <w:rsid w:val="00B14311"/>
    <w:rsid w:val="00B228C7"/>
    <w:rsid w:val="00B33EE4"/>
    <w:rsid w:val="00B34013"/>
    <w:rsid w:val="00B4200F"/>
    <w:rsid w:val="00B4438D"/>
    <w:rsid w:val="00B5016C"/>
    <w:rsid w:val="00B507BE"/>
    <w:rsid w:val="00B604A0"/>
    <w:rsid w:val="00B64CD7"/>
    <w:rsid w:val="00B650A3"/>
    <w:rsid w:val="00B65B05"/>
    <w:rsid w:val="00B67F51"/>
    <w:rsid w:val="00B747E6"/>
    <w:rsid w:val="00B75097"/>
    <w:rsid w:val="00B76395"/>
    <w:rsid w:val="00B9285E"/>
    <w:rsid w:val="00B93368"/>
    <w:rsid w:val="00B95BDF"/>
    <w:rsid w:val="00B95C76"/>
    <w:rsid w:val="00BA2471"/>
    <w:rsid w:val="00BB09CD"/>
    <w:rsid w:val="00BB23D6"/>
    <w:rsid w:val="00BC06D7"/>
    <w:rsid w:val="00BC201A"/>
    <w:rsid w:val="00C04689"/>
    <w:rsid w:val="00C05931"/>
    <w:rsid w:val="00C21B7C"/>
    <w:rsid w:val="00C24DD7"/>
    <w:rsid w:val="00C313FF"/>
    <w:rsid w:val="00C33C05"/>
    <w:rsid w:val="00C37712"/>
    <w:rsid w:val="00C37EBF"/>
    <w:rsid w:val="00C4340E"/>
    <w:rsid w:val="00C47E20"/>
    <w:rsid w:val="00C50AC9"/>
    <w:rsid w:val="00C53240"/>
    <w:rsid w:val="00C61241"/>
    <w:rsid w:val="00C6200C"/>
    <w:rsid w:val="00C64C5F"/>
    <w:rsid w:val="00C67CD5"/>
    <w:rsid w:val="00C76130"/>
    <w:rsid w:val="00C81F3B"/>
    <w:rsid w:val="00C82385"/>
    <w:rsid w:val="00C826B7"/>
    <w:rsid w:val="00C83D1C"/>
    <w:rsid w:val="00C97A11"/>
    <w:rsid w:val="00CA390F"/>
    <w:rsid w:val="00CB17EE"/>
    <w:rsid w:val="00CB7A9F"/>
    <w:rsid w:val="00CD5918"/>
    <w:rsid w:val="00CF65B8"/>
    <w:rsid w:val="00D0198A"/>
    <w:rsid w:val="00D03249"/>
    <w:rsid w:val="00D1652A"/>
    <w:rsid w:val="00D24FA0"/>
    <w:rsid w:val="00D26370"/>
    <w:rsid w:val="00D35DB2"/>
    <w:rsid w:val="00D50CAC"/>
    <w:rsid w:val="00D52E14"/>
    <w:rsid w:val="00D56B89"/>
    <w:rsid w:val="00D60B2F"/>
    <w:rsid w:val="00D610AF"/>
    <w:rsid w:val="00D80DAB"/>
    <w:rsid w:val="00D81DB5"/>
    <w:rsid w:val="00D9016A"/>
    <w:rsid w:val="00D92C0A"/>
    <w:rsid w:val="00D9658D"/>
    <w:rsid w:val="00D96DD2"/>
    <w:rsid w:val="00D97DC6"/>
    <w:rsid w:val="00DA34CF"/>
    <w:rsid w:val="00DA6E4A"/>
    <w:rsid w:val="00DB32C9"/>
    <w:rsid w:val="00DC227E"/>
    <w:rsid w:val="00DC24A2"/>
    <w:rsid w:val="00DC6AFE"/>
    <w:rsid w:val="00DC7A06"/>
    <w:rsid w:val="00DD28D4"/>
    <w:rsid w:val="00DD70F4"/>
    <w:rsid w:val="00DE5F54"/>
    <w:rsid w:val="00DE6F82"/>
    <w:rsid w:val="00DE777B"/>
    <w:rsid w:val="00DF2D83"/>
    <w:rsid w:val="00DF5421"/>
    <w:rsid w:val="00E02F13"/>
    <w:rsid w:val="00E079ED"/>
    <w:rsid w:val="00E14788"/>
    <w:rsid w:val="00E20AC8"/>
    <w:rsid w:val="00E5269C"/>
    <w:rsid w:val="00E67B63"/>
    <w:rsid w:val="00E7228A"/>
    <w:rsid w:val="00E7252E"/>
    <w:rsid w:val="00E72B9D"/>
    <w:rsid w:val="00E73B7C"/>
    <w:rsid w:val="00E8333C"/>
    <w:rsid w:val="00E835BE"/>
    <w:rsid w:val="00E873FA"/>
    <w:rsid w:val="00EA331F"/>
    <w:rsid w:val="00EA7383"/>
    <w:rsid w:val="00EB5DB2"/>
    <w:rsid w:val="00EB5FEB"/>
    <w:rsid w:val="00EC0A1B"/>
    <w:rsid w:val="00EC40DA"/>
    <w:rsid w:val="00ED0DF4"/>
    <w:rsid w:val="00ED7246"/>
    <w:rsid w:val="00EE770F"/>
    <w:rsid w:val="00F016EA"/>
    <w:rsid w:val="00F021EF"/>
    <w:rsid w:val="00F04270"/>
    <w:rsid w:val="00F139DA"/>
    <w:rsid w:val="00F15DF2"/>
    <w:rsid w:val="00F16C08"/>
    <w:rsid w:val="00F17D18"/>
    <w:rsid w:val="00F21F59"/>
    <w:rsid w:val="00F33DF9"/>
    <w:rsid w:val="00F355C9"/>
    <w:rsid w:val="00F40BEC"/>
    <w:rsid w:val="00F41857"/>
    <w:rsid w:val="00F4410D"/>
    <w:rsid w:val="00F57AAE"/>
    <w:rsid w:val="00F63213"/>
    <w:rsid w:val="00F73F78"/>
    <w:rsid w:val="00F77407"/>
    <w:rsid w:val="00F77877"/>
    <w:rsid w:val="00F8234C"/>
    <w:rsid w:val="00F87A79"/>
    <w:rsid w:val="00F87C78"/>
    <w:rsid w:val="00F90DF3"/>
    <w:rsid w:val="00FA063B"/>
    <w:rsid w:val="00FA2412"/>
    <w:rsid w:val="00FA392B"/>
    <w:rsid w:val="00FC058B"/>
    <w:rsid w:val="00FC5982"/>
    <w:rsid w:val="00FD0C82"/>
    <w:rsid w:val="00FD7760"/>
    <w:rsid w:val="00FD7B6E"/>
    <w:rsid w:val="00FD7CBB"/>
    <w:rsid w:val="00FF735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7F89"/>
  </w:style>
  <w:style w:type="character" w:styleId="a3">
    <w:name w:val="Hyperlink"/>
    <w:rsid w:val="00207F89"/>
    <w:rPr>
      <w:color w:val="0066CC"/>
      <w:u w:val="single"/>
    </w:rPr>
  </w:style>
  <w:style w:type="character" w:customStyle="1" w:styleId="3">
    <w:name w:val="Основной текст (3)_"/>
    <w:link w:val="30"/>
    <w:rsid w:val="00207F89"/>
    <w:rPr>
      <w:rFonts w:ascii="Times New Roman" w:eastAsia="Times New Roman" w:hAnsi="Times New Roman" w:cs="Times New Roman"/>
      <w:b/>
      <w:bCs/>
      <w:sz w:val="26"/>
      <w:szCs w:val="26"/>
      <w:shd w:val="clear" w:color="auto" w:fill="FFFFFF"/>
    </w:rPr>
  </w:style>
  <w:style w:type="character" w:customStyle="1" w:styleId="2">
    <w:name w:val="Основной текст (2)_"/>
    <w:rsid w:val="00207F89"/>
    <w:rPr>
      <w:rFonts w:ascii="Times New Roman" w:eastAsia="Times New Roman" w:hAnsi="Times New Roman" w:cs="Times New Roman"/>
      <w:b w:val="0"/>
      <w:bCs w:val="0"/>
      <w:i w:val="0"/>
      <w:iCs w:val="0"/>
      <w:smallCaps w:val="0"/>
      <w:strike w:val="0"/>
      <w:sz w:val="28"/>
      <w:szCs w:val="28"/>
      <w:u w:val="none"/>
    </w:rPr>
  </w:style>
  <w:style w:type="character" w:customStyle="1" w:styleId="24pt">
    <w:name w:val="Основной текст (2) + Интервал 4 pt"/>
    <w:rsid w:val="00207F89"/>
    <w:rPr>
      <w:rFonts w:ascii="Times New Roman" w:eastAsia="Times New Roman" w:hAnsi="Times New Roman" w:cs="Times New Roman"/>
      <w:b w:val="0"/>
      <w:bCs w:val="0"/>
      <w:i w:val="0"/>
      <w:iCs w:val="0"/>
      <w:smallCaps w:val="0"/>
      <w:strike w:val="0"/>
      <w:color w:val="000000"/>
      <w:spacing w:val="90"/>
      <w:w w:val="100"/>
      <w:position w:val="0"/>
      <w:sz w:val="28"/>
      <w:szCs w:val="28"/>
      <w:u w:val="none"/>
      <w:lang w:val="uk-UA" w:eastAsia="uk-UA" w:bidi="uk-UA"/>
    </w:rPr>
  </w:style>
  <w:style w:type="character" w:customStyle="1" w:styleId="213pt">
    <w:name w:val="Основной текст (2) + 13 pt;Полужирный;Курсив"/>
    <w:rsid w:val="00207F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105pt">
    <w:name w:val="Основной текст (2) + 10;5 pt;Полужирный"/>
    <w:rsid w:val="00207F89"/>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0">
    <w:name w:val="Основной текст (2)"/>
    <w:rsid w:val="00207F8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85pt0pt">
    <w:name w:val="Основной текст (2) + 8;5 pt;Полужирный;Интервал 0 pt"/>
    <w:rsid w:val="00207F89"/>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style>
  <w:style w:type="character" w:customStyle="1" w:styleId="295pt">
    <w:name w:val="Основной текст (2) + 9;5 pt;Курсив"/>
    <w:rsid w:val="00207F8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9pt">
    <w:name w:val="Основной текст (2) + 9 pt;Полужирный;Курсив"/>
    <w:rsid w:val="00207F89"/>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29pt0">
    <w:name w:val="Основной текст (2) + 9 pt;Курсив"/>
    <w:rsid w:val="00207F89"/>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2PalatinoLinotype4pt">
    <w:name w:val="Основной текст (2) + Palatino Linotype;4 pt"/>
    <w:rsid w:val="00207F89"/>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uk-UA" w:eastAsia="uk-UA" w:bidi="uk-UA"/>
    </w:rPr>
  </w:style>
  <w:style w:type="character" w:customStyle="1" w:styleId="2CenturyGothic45pt">
    <w:name w:val="Основной текст (2) + Century Gothic;4;5 pt"/>
    <w:rsid w:val="00207F89"/>
    <w:rPr>
      <w:rFonts w:ascii="Century Gothic" w:eastAsia="Century Gothic" w:hAnsi="Century Gothic" w:cs="Century Gothic"/>
      <w:b w:val="0"/>
      <w:bCs w:val="0"/>
      <w:i w:val="0"/>
      <w:iCs w:val="0"/>
      <w:smallCaps w:val="0"/>
      <w:strike w:val="0"/>
      <w:color w:val="000000"/>
      <w:spacing w:val="0"/>
      <w:w w:val="100"/>
      <w:position w:val="0"/>
      <w:sz w:val="9"/>
      <w:szCs w:val="9"/>
      <w:u w:val="none"/>
      <w:lang w:val="uk-UA" w:eastAsia="uk-UA" w:bidi="uk-UA"/>
    </w:rPr>
  </w:style>
  <w:style w:type="character" w:customStyle="1" w:styleId="a4">
    <w:name w:val="Подпись к таблице_"/>
    <w:link w:val="a5"/>
    <w:rsid w:val="00207F89"/>
    <w:rPr>
      <w:rFonts w:ascii="Times New Roman" w:eastAsia="Times New Roman" w:hAnsi="Times New Roman" w:cs="Times New Roman"/>
      <w:sz w:val="28"/>
      <w:szCs w:val="28"/>
      <w:shd w:val="clear" w:color="auto" w:fill="FFFFFF"/>
    </w:rPr>
  </w:style>
  <w:style w:type="character" w:customStyle="1" w:styleId="213pt0">
    <w:name w:val="Основной текст (2) + 13 pt;Полужирный"/>
    <w:rsid w:val="00207F89"/>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05pt1pt">
    <w:name w:val="Основной текст (2) + 10;5 pt;Полужирный;Интервал 1 pt"/>
    <w:rsid w:val="00207F89"/>
    <w:rPr>
      <w:rFonts w:ascii="Times New Roman" w:eastAsia="Times New Roman" w:hAnsi="Times New Roman" w:cs="Times New Roman"/>
      <w:b/>
      <w:bCs/>
      <w:i w:val="0"/>
      <w:iCs w:val="0"/>
      <w:smallCaps w:val="0"/>
      <w:strike w:val="0"/>
      <w:color w:val="000000"/>
      <w:spacing w:val="30"/>
      <w:w w:val="100"/>
      <w:position w:val="0"/>
      <w:sz w:val="21"/>
      <w:szCs w:val="21"/>
      <w:u w:val="none"/>
      <w:lang w:val="uk-UA" w:eastAsia="uk-UA" w:bidi="uk-UA"/>
    </w:rPr>
  </w:style>
  <w:style w:type="character" w:customStyle="1" w:styleId="2Tahoma12pt">
    <w:name w:val="Основной текст (2) + Tahoma;12 pt"/>
    <w:rsid w:val="00207F89"/>
    <w:rPr>
      <w:rFonts w:ascii="Tahoma" w:eastAsia="Tahoma" w:hAnsi="Tahoma" w:cs="Tahoma"/>
      <w:b w:val="0"/>
      <w:bCs w:val="0"/>
      <w:i w:val="0"/>
      <w:iCs w:val="0"/>
      <w:smallCaps w:val="0"/>
      <w:strike w:val="0"/>
      <w:color w:val="000000"/>
      <w:spacing w:val="0"/>
      <w:w w:val="100"/>
      <w:position w:val="0"/>
      <w:sz w:val="24"/>
      <w:szCs w:val="24"/>
      <w:u w:val="none"/>
      <w:lang w:val="uk-UA" w:eastAsia="uk-UA" w:bidi="uk-UA"/>
    </w:rPr>
  </w:style>
  <w:style w:type="character" w:customStyle="1" w:styleId="2Tahoma10pt">
    <w:name w:val="Основной текст (2) + Tahoma;10 pt"/>
    <w:rsid w:val="00207F89"/>
    <w:rPr>
      <w:rFonts w:ascii="Tahoma" w:eastAsia="Tahoma" w:hAnsi="Tahoma" w:cs="Tahoma"/>
      <w:b w:val="0"/>
      <w:bCs w:val="0"/>
      <w:i w:val="0"/>
      <w:iCs w:val="0"/>
      <w:smallCaps w:val="0"/>
      <w:strike w:val="0"/>
      <w:color w:val="000000"/>
      <w:spacing w:val="0"/>
      <w:w w:val="100"/>
      <w:position w:val="0"/>
      <w:sz w:val="20"/>
      <w:szCs w:val="20"/>
      <w:u w:val="none"/>
      <w:lang w:val="uk-UA" w:eastAsia="uk-UA" w:bidi="uk-UA"/>
    </w:rPr>
  </w:style>
  <w:style w:type="character" w:customStyle="1" w:styleId="4">
    <w:name w:val="Основной текст (4)_"/>
    <w:rsid w:val="00207F89"/>
    <w:rPr>
      <w:rFonts w:ascii="Times New Roman" w:eastAsia="Times New Roman" w:hAnsi="Times New Roman" w:cs="Times New Roman"/>
      <w:b w:val="0"/>
      <w:bCs w:val="0"/>
      <w:i w:val="0"/>
      <w:iCs w:val="0"/>
      <w:smallCaps w:val="0"/>
      <w:strike w:val="0"/>
      <w:sz w:val="15"/>
      <w:szCs w:val="15"/>
      <w:u w:val="none"/>
    </w:rPr>
  </w:style>
  <w:style w:type="character" w:customStyle="1" w:styleId="40">
    <w:name w:val="Основной текст (4) + Полужирный"/>
    <w:rsid w:val="00207F89"/>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customStyle="1" w:styleId="41">
    <w:name w:val="Основной текст (4)"/>
    <w:rsid w:val="00207F8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paragraph" w:customStyle="1" w:styleId="30">
    <w:name w:val="Основной текст (3)"/>
    <w:basedOn w:val="a"/>
    <w:link w:val="3"/>
    <w:rsid w:val="00207F89"/>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207F89"/>
    <w:pPr>
      <w:widowControl w:val="0"/>
      <w:shd w:val="clear" w:color="auto" w:fill="FFFFFF"/>
      <w:spacing w:after="0" w:line="0" w:lineRule="atLeast"/>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07F89"/>
    <w:pPr>
      <w:widowControl w:val="0"/>
      <w:spacing w:after="0" w:line="240" w:lineRule="auto"/>
    </w:pPr>
    <w:rPr>
      <w:rFonts w:ascii="Tahoma" w:eastAsia="Arial Unicode MS" w:hAnsi="Tahoma" w:cs="Tahoma"/>
      <w:color w:val="000000"/>
      <w:sz w:val="16"/>
      <w:szCs w:val="16"/>
      <w:lang w:eastAsia="uk-UA" w:bidi="uk-UA"/>
    </w:rPr>
  </w:style>
  <w:style w:type="character" w:customStyle="1" w:styleId="a7">
    <w:name w:val="Текст выноски Знак"/>
    <w:basedOn w:val="a0"/>
    <w:link w:val="a6"/>
    <w:uiPriority w:val="99"/>
    <w:semiHidden/>
    <w:rsid w:val="00207F89"/>
    <w:rPr>
      <w:rFonts w:ascii="Tahoma" w:eastAsia="Arial Unicode MS" w:hAnsi="Tahoma" w:cs="Tahoma"/>
      <w:color w:val="000000"/>
      <w:sz w:val="16"/>
      <w:szCs w:val="16"/>
      <w:lang w:eastAsia="uk-UA" w:bidi="uk-UA"/>
    </w:rPr>
  </w:style>
  <w:style w:type="table" w:styleId="a8">
    <w:name w:val="Table Grid"/>
    <w:basedOn w:val="a1"/>
    <w:uiPriority w:val="59"/>
    <w:rsid w:val="00207F89"/>
    <w:pPr>
      <w:spacing w:after="0" w:line="240" w:lineRule="auto"/>
    </w:pPr>
    <w:rPr>
      <w:rFonts w:ascii="Arial Unicode MS" w:eastAsia="Arial Unicode MS" w:hAnsi="Arial Unicode MS" w:cs="Arial Unicode MS"/>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30F29"/>
    <w:pPr>
      <w:ind w:left="720"/>
      <w:contextualSpacing/>
    </w:pPr>
  </w:style>
  <w:style w:type="paragraph" w:styleId="aa">
    <w:name w:val="Document Map"/>
    <w:basedOn w:val="a"/>
    <w:link w:val="ab"/>
    <w:uiPriority w:val="99"/>
    <w:semiHidden/>
    <w:unhideWhenUsed/>
    <w:rsid w:val="004D5070"/>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4D5070"/>
    <w:rPr>
      <w:rFonts w:ascii="Tahoma" w:hAnsi="Tahoma" w:cs="Tahoma"/>
      <w:sz w:val="16"/>
      <w:szCs w:val="16"/>
    </w:rPr>
  </w:style>
  <w:style w:type="paragraph" w:styleId="ac">
    <w:name w:val="Title"/>
    <w:basedOn w:val="a"/>
    <w:link w:val="ad"/>
    <w:qFormat/>
    <w:rsid w:val="00A53ABD"/>
    <w:pPr>
      <w:spacing w:after="0" w:line="240" w:lineRule="auto"/>
      <w:jc w:val="center"/>
    </w:pPr>
    <w:rPr>
      <w:rFonts w:ascii="Times New Roman" w:eastAsia="SimSun" w:hAnsi="Times New Roman" w:cs="Times New Roman"/>
      <w:b/>
      <w:bCs/>
      <w:sz w:val="28"/>
      <w:szCs w:val="28"/>
      <w:lang w:eastAsia="ru-RU"/>
    </w:rPr>
  </w:style>
  <w:style w:type="character" w:customStyle="1" w:styleId="ad">
    <w:name w:val="Название Знак"/>
    <w:basedOn w:val="a0"/>
    <w:link w:val="ac"/>
    <w:rsid w:val="00A53ABD"/>
    <w:rPr>
      <w:rFonts w:ascii="Times New Roman" w:eastAsia="SimSu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7F89"/>
  </w:style>
  <w:style w:type="character" w:styleId="a3">
    <w:name w:val="Hyperlink"/>
    <w:rsid w:val="00207F89"/>
    <w:rPr>
      <w:color w:val="0066CC"/>
      <w:u w:val="single"/>
    </w:rPr>
  </w:style>
  <w:style w:type="character" w:customStyle="1" w:styleId="3">
    <w:name w:val="Основной текст (3)_"/>
    <w:link w:val="30"/>
    <w:rsid w:val="00207F89"/>
    <w:rPr>
      <w:rFonts w:ascii="Times New Roman" w:eastAsia="Times New Roman" w:hAnsi="Times New Roman" w:cs="Times New Roman"/>
      <w:b/>
      <w:bCs/>
      <w:sz w:val="26"/>
      <w:szCs w:val="26"/>
      <w:shd w:val="clear" w:color="auto" w:fill="FFFFFF"/>
    </w:rPr>
  </w:style>
  <w:style w:type="character" w:customStyle="1" w:styleId="2">
    <w:name w:val="Основной текст (2)_"/>
    <w:rsid w:val="00207F89"/>
    <w:rPr>
      <w:rFonts w:ascii="Times New Roman" w:eastAsia="Times New Roman" w:hAnsi="Times New Roman" w:cs="Times New Roman"/>
      <w:b w:val="0"/>
      <w:bCs w:val="0"/>
      <w:i w:val="0"/>
      <w:iCs w:val="0"/>
      <w:smallCaps w:val="0"/>
      <w:strike w:val="0"/>
      <w:sz w:val="28"/>
      <w:szCs w:val="28"/>
      <w:u w:val="none"/>
    </w:rPr>
  </w:style>
  <w:style w:type="character" w:customStyle="1" w:styleId="24pt">
    <w:name w:val="Основной текст (2) + Интервал 4 pt"/>
    <w:rsid w:val="00207F89"/>
    <w:rPr>
      <w:rFonts w:ascii="Times New Roman" w:eastAsia="Times New Roman" w:hAnsi="Times New Roman" w:cs="Times New Roman"/>
      <w:b w:val="0"/>
      <w:bCs w:val="0"/>
      <w:i w:val="0"/>
      <w:iCs w:val="0"/>
      <w:smallCaps w:val="0"/>
      <w:strike w:val="0"/>
      <w:color w:val="000000"/>
      <w:spacing w:val="90"/>
      <w:w w:val="100"/>
      <w:position w:val="0"/>
      <w:sz w:val="28"/>
      <w:szCs w:val="28"/>
      <w:u w:val="none"/>
      <w:lang w:val="uk-UA" w:eastAsia="uk-UA" w:bidi="uk-UA"/>
    </w:rPr>
  </w:style>
  <w:style w:type="character" w:customStyle="1" w:styleId="213pt">
    <w:name w:val="Основной текст (2) + 13 pt;Полужирный;Курсив"/>
    <w:rsid w:val="00207F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105pt">
    <w:name w:val="Основной текст (2) + 10;5 pt;Полужирный"/>
    <w:rsid w:val="00207F89"/>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0">
    <w:name w:val="Основной текст (2)"/>
    <w:rsid w:val="00207F8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85pt0pt">
    <w:name w:val="Основной текст (2) + 8;5 pt;Полужирный;Интервал 0 pt"/>
    <w:rsid w:val="00207F89"/>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style>
  <w:style w:type="character" w:customStyle="1" w:styleId="295pt">
    <w:name w:val="Основной текст (2) + 9;5 pt;Курсив"/>
    <w:rsid w:val="00207F8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9pt">
    <w:name w:val="Основной текст (2) + 9 pt;Полужирный;Курсив"/>
    <w:rsid w:val="00207F89"/>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29pt0">
    <w:name w:val="Основной текст (2) + 9 pt;Курсив"/>
    <w:rsid w:val="00207F89"/>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2PalatinoLinotype4pt">
    <w:name w:val="Основной текст (2) + Palatino Linotype;4 pt"/>
    <w:rsid w:val="00207F89"/>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uk-UA" w:eastAsia="uk-UA" w:bidi="uk-UA"/>
    </w:rPr>
  </w:style>
  <w:style w:type="character" w:customStyle="1" w:styleId="2CenturyGothic45pt">
    <w:name w:val="Основной текст (2) + Century Gothic;4;5 pt"/>
    <w:rsid w:val="00207F89"/>
    <w:rPr>
      <w:rFonts w:ascii="Century Gothic" w:eastAsia="Century Gothic" w:hAnsi="Century Gothic" w:cs="Century Gothic"/>
      <w:b w:val="0"/>
      <w:bCs w:val="0"/>
      <w:i w:val="0"/>
      <w:iCs w:val="0"/>
      <w:smallCaps w:val="0"/>
      <w:strike w:val="0"/>
      <w:color w:val="000000"/>
      <w:spacing w:val="0"/>
      <w:w w:val="100"/>
      <w:position w:val="0"/>
      <w:sz w:val="9"/>
      <w:szCs w:val="9"/>
      <w:u w:val="none"/>
      <w:lang w:val="uk-UA" w:eastAsia="uk-UA" w:bidi="uk-UA"/>
    </w:rPr>
  </w:style>
  <w:style w:type="character" w:customStyle="1" w:styleId="a4">
    <w:name w:val="Подпись к таблице_"/>
    <w:link w:val="a5"/>
    <w:rsid w:val="00207F89"/>
    <w:rPr>
      <w:rFonts w:ascii="Times New Roman" w:eastAsia="Times New Roman" w:hAnsi="Times New Roman" w:cs="Times New Roman"/>
      <w:sz w:val="28"/>
      <w:szCs w:val="28"/>
      <w:shd w:val="clear" w:color="auto" w:fill="FFFFFF"/>
    </w:rPr>
  </w:style>
  <w:style w:type="character" w:customStyle="1" w:styleId="213pt0">
    <w:name w:val="Основной текст (2) + 13 pt;Полужирный"/>
    <w:rsid w:val="00207F89"/>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05pt1pt">
    <w:name w:val="Основной текст (2) + 10;5 pt;Полужирный;Интервал 1 pt"/>
    <w:rsid w:val="00207F89"/>
    <w:rPr>
      <w:rFonts w:ascii="Times New Roman" w:eastAsia="Times New Roman" w:hAnsi="Times New Roman" w:cs="Times New Roman"/>
      <w:b/>
      <w:bCs/>
      <w:i w:val="0"/>
      <w:iCs w:val="0"/>
      <w:smallCaps w:val="0"/>
      <w:strike w:val="0"/>
      <w:color w:val="000000"/>
      <w:spacing w:val="30"/>
      <w:w w:val="100"/>
      <w:position w:val="0"/>
      <w:sz w:val="21"/>
      <w:szCs w:val="21"/>
      <w:u w:val="none"/>
      <w:lang w:val="uk-UA" w:eastAsia="uk-UA" w:bidi="uk-UA"/>
    </w:rPr>
  </w:style>
  <w:style w:type="character" w:customStyle="1" w:styleId="2Tahoma12pt">
    <w:name w:val="Основной текст (2) + Tahoma;12 pt"/>
    <w:rsid w:val="00207F89"/>
    <w:rPr>
      <w:rFonts w:ascii="Tahoma" w:eastAsia="Tahoma" w:hAnsi="Tahoma" w:cs="Tahoma"/>
      <w:b w:val="0"/>
      <w:bCs w:val="0"/>
      <w:i w:val="0"/>
      <w:iCs w:val="0"/>
      <w:smallCaps w:val="0"/>
      <w:strike w:val="0"/>
      <w:color w:val="000000"/>
      <w:spacing w:val="0"/>
      <w:w w:val="100"/>
      <w:position w:val="0"/>
      <w:sz w:val="24"/>
      <w:szCs w:val="24"/>
      <w:u w:val="none"/>
      <w:lang w:val="uk-UA" w:eastAsia="uk-UA" w:bidi="uk-UA"/>
    </w:rPr>
  </w:style>
  <w:style w:type="character" w:customStyle="1" w:styleId="2Tahoma10pt">
    <w:name w:val="Основной текст (2) + Tahoma;10 pt"/>
    <w:rsid w:val="00207F89"/>
    <w:rPr>
      <w:rFonts w:ascii="Tahoma" w:eastAsia="Tahoma" w:hAnsi="Tahoma" w:cs="Tahoma"/>
      <w:b w:val="0"/>
      <w:bCs w:val="0"/>
      <w:i w:val="0"/>
      <w:iCs w:val="0"/>
      <w:smallCaps w:val="0"/>
      <w:strike w:val="0"/>
      <w:color w:val="000000"/>
      <w:spacing w:val="0"/>
      <w:w w:val="100"/>
      <w:position w:val="0"/>
      <w:sz w:val="20"/>
      <w:szCs w:val="20"/>
      <w:u w:val="none"/>
      <w:lang w:val="uk-UA" w:eastAsia="uk-UA" w:bidi="uk-UA"/>
    </w:rPr>
  </w:style>
  <w:style w:type="character" w:customStyle="1" w:styleId="4">
    <w:name w:val="Основной текст (4)_"/>
    <w:rsid w:val="00207F89"/>
    <w:rPr>
      <w:rFonts w:ascii="Times New Roman" w:eastAsia="Times New Roman" w:hAnsi="Times New Roman" w:cs="Times New Roman"/>
      <w:b w:val="0"/>
      <w:bCs w:val="0"/>
      <w:i w:val="0"/>
      <w:iCs w:val="0"/>
      <w:smallCaps w:val="0"/>
      <w:strike w:val="0"/>
      <w:sz w:val="15"/>
      <w:szCs w:val="15"/>
      <w:u w:val="none"/>
    </w:rPr>
  </w:style>
  <w:style w:type="character" w:customStyle="1" w:styleId="40">
    <w:name w:val="Основной текст (4) + Полужирный"/>
    <w:rsid w:val="00207F89"/>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customStyle="1" w:styleId="41">
    <w:name w:val="Основной текст (4)"/>
    <w:rsid w:val="00207F8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paragraph" w:customStyle="1" w:styleId="30">
    <w:name w:val="Основной текст (3)"/>
    <w:basedOn w:val="a"/>
    <w:link w:val="3"/>
    <w:rsid w:val="00207F89"/>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207F89"/>
    <w:pPr>
      <w:widowControl w:val="0"/>
      <w:shd w:val="clear" w:color="auto" w:fill="FFFFFF"/>
      <w:spacing w:after="0" w:line="0" w:lineRule="atLeast"/>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07F89"/>
    <w:pPr>
      <w:widowControl w:val="0"/>
      <w:spacing w:after="0" w:line="240" w:lineRule="auto"/>
    </w:pPr>
    <w:rPr>
      <w:rFonts w:ascii="Tahoma" w:eastAsia="Arial Unicode MS" w:hAnsi="Tahoma" w:cs="Tahoma"/>
      <w:color w:val="000000"/>
      <w:sz w:val="16"/>
      <w:szCs w:val="16"/>
      <w:lang w:eastAsia="uk-UA" w:bidi="uk-UA"/>
    </w:rPr>
  </w:style>
  <w:style w:type="character" w:customStyle="1" w:styleId="a7">
    <w:name w:val="Текст выноски Знак"/>
    <w:basedOn w:val="a0"/>
    <w:link w:val="a6"/>
    <w:uiPriority w:val="99"/>
    <w:semiHidden/>
    <w:rsid w:val="00207F89"/>
    <w:rPr>
      <w:rFonts w:ascii="Tahoma" w:eastAsia="Arial Unicode MS" w:hAnsi="Tahoma" w:cs="Tahoma"/>
      <w:color w:val="000000"/>
      <w:sz w:val="16"/>
      <w:szCs w:val="16"/>
      <w:lang w:eastAsia="uk-UA" w:bidi="uk-UA"/>
    </w:rPr>
  </w:style>
  <w:style w:type="table" w:styleId="a8">
    <w:name w:val="Table Grid"/>
    <w:basedOn w:val="a1"/>
    <w:uiPriority w:val="59"/>
    <w:rsid w:val="00207F89"/>
    <w:pPr>
      <w:spacing w:after="0" w:line="240" w:lineRule="auto"/>
    </w:pPr>
    <w:rPr>
      <w:rFonts w:ascii="Arial Unicode MS" w:eastAsia="Arial Unicode MS" w:hAnsi="Arial Unicode MS" w:cs="Arial Unicode MS"/>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30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0152">
      <w:bodyDiv w:val="1"/>
      <w:marLeft w:val="0"/>
      <w:marRight w:val="0"/>
      <w:marTop w:val="0"/>
      <w:marBottom w:val="0"/>
      <w:divBdr>
        <w:top w:val="none" w:sz="0" w:space="0" w:color="auto"/>
        <w:left w:val="none" w:sz="0" w:space="0" w:color="auto"/>
        <w:bottom w:val="none" w:sz="0" w:space="0" w:color="auto"/>
        <w:right w:val="none" w:sz="0" w:space="0" w:color="auto"/>
      </w:divBdr>
    </w:div>
    <w:div w:id="18048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навантаження</a:t>
            </a:r>
          </a:p>
        </c:rich>
      </c:tx>
      <c:layout/>
      <c:overlay val="0"/>
    </c:title>
    <c:autoTitleDeleted val="0"/>
    <c:plotArea>
      <c:layout/>
      <c:barChart>
        <c:barDir val="col"/>
        <c:grouping val="clustered"/>
        <c:varyColors val="0"/>
        <c:ser>
          <c:idx val="0"/>
          <c:order val="0"/>
          <c:tx>
            <c:strRef>
              <c:f>Лист1!$B$1</c:f>
              <c:strCache>
                <c:ptCount val="1"/>
                <c:pt idx="0">
                  <c:v>перебувало на розгляді</c:v>
                </c:pt>
              </c:strCache>
            </c:strRef>
          </c:tx>
          <c:invertIfNegative val="0"/>
          <c:cat>
            <c:numRef>
              <c:f>Лист1!$A$2:$A$4</c:f>
              <c:numCache>
                <c:formatCode>General</c:formatCode>
                <c:ptCount val="3"/>
                <c:pt idx="0">
                  <c:v>2015</c:v>
                </c:pt>
                <c:pt idx="1">
                  <c:v>2016</c:v>
                </c:pt>
                <c:pt idx="2">
                  <c:v>2017</c:v>
                </c:pt>
              </c:numCache>
            </c:numRef>
          </c:cat>
          <c:val>
            <c:numRef>
              <c:f>Лист1!$B$2:$B$4</c:f>
              <c:numCache>
                <c:formatCode>General</c:formatCode>
                <c:ptCount val="3"/>
                <c:pt idx="0">
                  <c:v>9579</c:v>
                </c:pt>
                <c:pt idx="1">
                  <c:v>8082</c:v>
                </c:pt>
                <c:pt idx="2">
                  <c:v>8580</c:v>
                </c:pt>
              </c:numCache>
            </c:numRef>
          </c:val>
        </c:ser>
        <c:ser>
          <c:idx val="1"/>
          <c:order val="1"/>
          <c:tx>
            <c:strRef>
              <c:f>Лист1!$C$1</c:f>
              <c:strCache>
                <c:ptCount val="1"/>
                <c:pt idx="0">
                  <c:v>надійшло</c:v>
                </c:pt>
              </c:strCache>
            </c:strRef>
          </c:tx>
          <c:invertIfNegative val="0"/>
          <c:cat>
            <c:numRef>
              <c:f>Лист1!$A$2:$A$4</c:f>
              <c:numCache>
                <c:formatCode>General</c:formatCode>
                <c:ptCount val="3"/>
                <c:pt idx="0">
                  <c:v>2015</c:v>
                </c:pt>
                <c:pt idx="1">
                  <c:v>2016</c:v>
                </c:pt>
                <c:pt idx="2">
                  <c:v>2017</c:v>
                </c:pt>
              </c:numCache>
            </c:numRef>
          </c:cat>
          <c:val>
            <c:numRef>
              <c:f>Лист1!$C$2:$C$4</c:f>
              <c:numCache>
                <c:formatCode>General</c:formatCode>
                <c:ptCount val="3"/>
                <c:pt idx="0">
                  <c:v>7797</c:v>
                </c:pt>
                <c:pt idx="1">
                  <c:v>6809</c:v>
                </c:pt>
                <c:pt idx="2">
                  <c:v>7443</c:v>
                </c:pt>
              </c:numCache>
            </c:numRef>
          </c:val>
        </c:ser>
        <c:ser>
          <c:idx val="2"/>
          <c:order val="2"/>
          <c:tx>
            <c:strRef>
              <c:f>Лист1!$D$1</c:f>
              <c:strCache>
                <c:ptCount val="1"/>
                <c:pt idx="0">
                  <c:v>розглянуто</c:v>
                </c:pt>
              </c:strCache>
            </c:strRef>
          </c:tx>
          <c:invertIfNegative val="0"/>
          <c:cat>
            <c:numRef>
              <c:f>Лист1!$A$2:$A$4</c:f>
              <c:numCache>
                <c:formatCode>General</c:formatCode>
                <c:ptCount val="3"/>
                <c:pt idx="0">
                  <c:v>2015</c:v>
                </c:pt>
                <c:pt idx="1">
                  <c:v>2016</c:v>
                </c:pt>
                <c:pt idx="2">
                  <c:v>2017</c:v>
                </c:pt>
              </c:numCache>
            </c:numRef>
          </c:cat>
          <c:val>
            <c:numRef>
              <c:f>Лист1!$D$2:$D$4</c:f>
              <c:numCache>
                <c:formatCode>General</c:formatCode>
                <c:ptCount val="3"/>
                <c:pt idx="0">
                  <c:v>8303</c:v>
                </c:pt>
                <c:pt idx="1">
                  <c:v>6943</c:v>
                </c:pt>
                <c:pt idx="2">
                  <c:v>6873</c:v>
                </c:pt>
              </c:numCache>
            </c:numRef>
          </c:val>
        </c:ser>
        <c:ser>
          <c:idx val="3"/>
          <c:order val="3"/>
          <c:tx>
            <c:strRef>
              <c:f>Лист1!$E$1</c:f>
              <c:strCache>
                <c:ptCount val="1"/>
                <c:pt idx="0">
                  <c:v>залишок</c:v>
                </c:pt>
              </c:strCache>
            </c:strRef>
          </c:tx>
          <c:invertIfNegative val="0"/>
          <c:cat>
            <c:numRef>
              <c:f>Лист1!$A$2:$A$4</c:f>
              <c:numCache>
                <c:formatCode>General</c:formatCode>
                <c:ptCount val="3"/>
                <c:pt idx="0">
                  <c:v>2015</c:v>
                </c:pt>
                <c:pt idx="1">
                  <c:v>2016</c:v>
                </c:pt>
                <c:pt idx="2">
                  <c:v>2017</c:v>
                </c:pt>
              </c:numCache>
            </c:numRef>
          </c:cat>
          <c:val>
            <c:numRef>
              <c:f>Лист1!$E$2:$E$4</c:f>
              <c:numCache>
                <c:formatCode>General</c:formatCode>
                <c:ptCount val="3"/>
                <c:pt idx="0">
                  <c:v>1276</c:v>
                </c:pt>
                <c:pt idx="1">
                  <c:v>1139</c:v>
                </c:pt>
                <c:pt idx="2">
                  <c:v>1707</c:v>
                </c:pt>
              </c:numCache>
            </c:numRef>
          </c:val>
        </c:ser>
        <c:dLbls>
          <c:showLegendKey val="0"/>
          <c:showVal val="1"/>
          <c:showCatName val="0"/>
          <c:showSerName val="0"/>
          <c:showPercent val="0"/>
          <c:showBubbleSize val="0"/>
        </c:dLbls>
        <c:gapWidth val="150"/>
        <c:overlap val="-25"/>
        <c:axId val="107222144"/>
        <c:axId val="107223680"/>
      </c:barChart>
      <c:catAx>
        <c:axId val="107222144"/>
        <c:scaling>
          <c:orientation val="minMax"/>
        </c:scaling>
        <c:delete val="0"/>
        <c:axPos val="b"/>
        <c:numFmt formatCode="General" sourceLinked="1"/>
        <c:majorTickMark val="none"/>
        <c:minorTickMark val="none"/>
        <c:tickLblPos val="nextTo"/>
        <c:crossAx val="107223680"/>
        <c:crosses val="autoZero"/>
        <c:auto val="1"/>
        <c:lblAlgn val="ctr"/>
        <c:lblOffset val="100"/>
        <c:noMultiLvlLbl val="0"/>
      </c:catAx>
      <c:valAx>
        <c:axId val="107223680"/>
        <c:scaling>
          <c:orientation val="minMax"/>
        </c:scaling>
        <c:delete val="1"/>
        <c:axPos val="l"/>
        <c:numFmt formatCode="General" sourceLinked="1"/>
        <c:majorTickMark val="none"/>
        <c:minorTickMark val="none"/>
        <c:tickLblPos val="nextTo"/>
        <c:crossAx val="107222144"/>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uk-UA"/>
              <a:t>апеляційний розгляд</a:t>
            </a:r>
          </a:p>
        </c:rich>
      </c:tx>
      <c:layout/>
      <c:overlay val="0"/>
    </c:title>
    <c:autoTitleDeleted val="0"/>
    <c:plotArea>
      <c:layout/>
      <c:pieChart>
        <c:varyColors val="1"/>
        <c:ser>
          <c:idx val="0"/>
          <c:order val="0"/>
          <c:tx>
            <c:strRef>
              <c:f>Лист1!$B$1</c:f>
              <c:strCache>
                <c:ptCount val="1"/>
                <c:pt idx="0">
                  <c:v>Апеляційний розгляд</c:v>
                </c:pt>
              </c:strCache>
            </c:strRef>
          </c:tx>
          <c:dLbls>
            <c:showLegendKey val="0"/>
            <c:showVal val="0"/>
            <c:showCatName val="0"/>
            <c:showSerName val="0"/>
            <c:showPercent val="1"/>
            <c:showBubbleSize val="0"/>
            <c:showLeaderLines val="1"/>
          </c:dLbls>
          <c:cat>
            <c:strRef>
              <c:f>Лист1!$A$2:$A$8</c:f>
              <c:strCache>
                <c:ptCount val="7"/>
                <c:pt idx="0">
                  <c:v>рішення залишено без змін </c:v>
                </c:pt>
                <c:pt idx="1">
                  <c:v>скасовано рішення та прийнято нове</c:v>
                </c:pt>
                <c:pt idx="2">
                  <c:v>скасовано рішення та направлено справу для продовження розгляду</c:v>
                </c:pt>
                <c:pt idx="3">
                  <c:v>скасовано рішення та провадження у справі закрито</c:v>
                </c:pt>
                <c:pt idx="4">
                  <c:v>скасовано рішення та справу направлено на новий розгляд </c:v>
                </c:pt>
                <c:pt idx="5">
                  <c:v>скасовано рішення та позов залишено без розгляду </c:v>
                </c:pt>
                <c:pt idx="6">
                  <c:v>змінено рішення</c:v>
                </c:pt>
              </c:strCache>
            </c:strRef>
          </c:cat>
          <c:val>
            <c:numRef>
              <c:f>Лист1!$B$2:$B$8</c:f>
              <c:numCache>
                <c:formatCode>General</c:formatCode>
                <c:ptCount val="7"/>
                <c:pt idx="0">
                  <c:v>1427</c:v>
                </c:pt>
                <c:pt idx="1">
                  <c:v>283</c:v>
                </c:pt>
                <c:pt idx="2">
                  <c:v>79</c:v>
                </c:pt>
                <c:pt idx="3">
                  <c:v>32</c:v>
                </c:pt>
                <c:pt idx="4">
                  <c:v>3</c:v>
                </c:pt>
                <c:pt idx="5">
                  <c:v>8</c:v>
                </c:pt>
                <c:pt idx="6">
                  <c:v>12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uk-UA"/>
              <a:t>касаційний розгляд</a:t>
            </a:r>
          </a:p>
        </c:rich>
      </c:tx>
      <c:layout/>
      <c:overlay val="0"/>
    </c:title>
    <c:autoTitleDeleted val="0"/>
    <c:plotArea>
      <c:layout/>
      <c:pieChart>
        <c:varyColors val="1"/>
        <c:ser>
          <c:idx val="0"/>
          <c:order val="0"/>
          <c:tx>
            <c:strRef>
              <c:f>Лист1!$B$1</c:f>
              <c:strCache>
                <c:ptCount val="1"/>
                <c:pt idx="0">
                  <c:v>Касаційний розгляд</c:v>
                </c:pt>
              </c:strCache>
            </c:strRef>
          </c:tx>
          <c:explosion val="1"/>
          <c:dLbls>
            <c:showLegendKey val="0"/>
            <c:showVal val="0"/>
            <c:showCatName val="0"/>
            <c:showSerName val="0"/>
            <c:showPercent val="1"/>
            <c:showBubbleSize val="0"/>
            <c:showLeaderLines val="1"/>
          </c:dLbls>
          <c:cat>
            <c:strRef>
              <c:f>Лист1!$A$2:$A$4</c:f>
              <c:strCache>
                <c:ptCount val="3"/>
                <c:pt idx="0">
                  <c:v>рішення залишені без змін</c:v>
                </c:pt>
                <c:pt idx="1">
                  <c:v>скасовано</c:v>
                </c:pt>
                <c:pt idx="2">
                  <c:v>змінено</c:v>
                </c:pt>
              </c:strCache>
            </c:strRef>
          </c:cat>
          <c:val>
            <c:numRef>
              <c:f>Лист1!$B$2:$B$4</c:f>
              <c:numCache>
                <c:formatCode>General</c:formatCode>
                <c:ptCount val="3"/>
                <c:pt idx="0">
                  <c:v>361</c:v>
                </c:pt>
                <c:pt idx="1">
                  <c:v>90</c:v>
                </c:pt>
                <c:pt idx="2">
                  <c:v>1.4</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Лист1!$B$1</c:f>
              <c:strCache>
                <c:ptCount val="1"/>
                <c:pt idx="0">
                  <c:v>кількість виданих виконавчих листів</c:v>
                </c:pt>
              </c:strCache>
            </c:strRef>
          </c:tx>
          <c:marker>
            <c:symbol val="none"/>
          </c:marker>
          <c:dLbls>
            <c:dLblPos val="t"/>
            <c:showLegendKey val="0"/>
            <c:showVal val="1"/>
            <c:showCatName val="0"/>
            <c:showSerName val="0"/>
            <c:showPercent val="0"/>
            <c:showBubbleSize val="0"/>
            <c:showLeaderLines val="0"/>
          </c:dLbls>
          <c:cat>
            <c:strRef>
              <c:f>Лист1!$A$2:$A$4</c:f>
              <c:strCache>
                <c:ptCount val="3"/>
                <c:pt idx="0">
                  <c:v>2015 рік</c:v>
                </c:pt>
                <c:pt idx="1">
                  <c:v>2016 рік</c:v>
                </c:pt>
                <c:pt idx="2">
                  <c:v>2017 рік</c:v>
                </c:pt>
              </c:strCache>
            </c:strRef>
          </c:cat>
          <c:val>
            <c:numRef>
              <c:f>Лист1!$B$2:$B$4</c:f>
              <c:numCache>
                <c:formatCode>General</c:formatCode>
                <c:ptCount val="3"/>
                <c:pt idx="0">
                  <c:v>2905</c:v>
                </c:pt>
                <c:pt idx="1">
                  <c:v>1454</c:v>
                </c:pt>
                <c:pt idx="2">
                  <c:v>2100</c:v>
                </c:pt>
              </c:numCache>
            </c:numRef>
          </c:val>
          <c:smooth val="0"/>
        </c:ser>
        <c:dLbls>
          <c:showLegendKey val="0"/>
          <c:showVal val="0"/>
          <c:showCatName val="0"/>
          <c:showSerName val="0"/>
          <c:showPercent val="0"/>
          <c:showBubbleSize val="0"/>
        </c:dLbls>
        <c:marker val="1"/>
        <c:smooth val="0"/>
        <c:axId val="108164992"/>
        <c:axId val="108166528"/>
      </c:lineChart>
      <c:catAx>
        <c:axId val="108164992"/>
        <c:scaling>
          <c:orientation val="minMax"/>
        </c:scaling>
        <c:delete val="0"/>
        <c:axPos val="b"/>
        <c:numFmt formatCode="General" sourceLinked="1"/>
        <c:majorTickMark val="out"/>
        <c:minorTickMark val="none"/>
        <c:tickLblPos val="nextTo"/>
        <c:crossAx val="108166528"/>
        <c:crosses val="autoZero"/>
        <c:auto val="1"/>
        <c:lblAlgn val="ctr"/>
        <c:lblOffset val="100"/>
        <c:noMultiLvlLbl val="0"/>
      </c:catAx>
      <c:valAx>
        <c:axId val="108166528"/>
        <c:scaling>
          <c:orientation val="minMax"/>
        </c:scaling>
        <c:delete val="0"/>
        <c:axPos val="l"/>
        <c:majorGridlines/>
        <c:numFmt formatCode="General" sourceLinked="1"/>
        <c:majorTickMark val="out"/>
        <c:minorTickMark val="none"/>
        <c:tickLblPos val="nextTo"/>
        <c:crossAx val="1081649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uk-UA"/>
              <a:t>надходження справ та матеріалів</a:t>
            </a:r>
          </a:p>
        </c:rich>
      </c:tx>
      <c:layout/>
      <c:overlay val="0"/>
    </c:title>
    <c:autoTitleDeleted val="0"/>
    <c:plotArea>
      <c:layout>
        <c:manualLayout>
          <c:layoutTarget val="inner"/>
          <c:xMode val="edge"/>
          <c:yMode val="edge"/>
          <c:x val="9.8508858267716562E-2"/>
          <c:y val="0.16697444069491316"/>
          <c:w val="0.88065780839895014"/>
          <c:h val="0.60671134858142739"/>
        </c:manualLayout>
      </c:layout>
      <c:lineChart>
        <c:grouping val="standard"/>
        <c:varyColors val="0"/>
        <c:ser>
          <c:idx val="0"/>
          <c:order val="0"/>
          <c:tx>
            <c:strRef>
              <c:f>Лист1!$B$1</c:f>
              <c:strCache>
                <c:ptCount val="1"/>
                <c:pt idx="0">
                  <c:v>Надходження справ та матеріалів</c:v>
                </c:pt>
              </c:strCache>
            </c:strRef>
          </c:tx>
          <c:marker>
            <c:symbol val="none"/>
          </c:marker>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Лист1!$B$2:$B$13</c:f>
              <c:numCache>
                <c:formatCode>General</c:formatCode>
                <c:ptCount val="12"/>
                <c:pt idx="0">
                  <c:v>452</c:v>
                </c:pt>
                <c:pt idx="1">
                  <c:v>525</c:v>
                </c:pt>
                <c:pt idx="2">
                  <c:v>469</c:v>
                </c:pt>
                <c:pt idx="3">
                  <c:v>532</c:v>
                </c:pt>
                <c:pt idx="4">
                  <c:v>698</c:v>
                </c:pt>
                <c:pt idx="5">
                  <c:v>561</c:v>
                </c:pt>
                <c:pt idx="6">
                  <c:v>673</c:v>
                </c:pt>
                <c:pt idx="7">
                  <c:v>515</c:v>
                </c:pt>
                <c:pt idx="8">
                  <c:v>389</c:v>
                </c:pt>
                <c:pt idx="9">
                  <c:v>807</c:v>
                </c:pt>
                <c:pt idx="10">
                  <c:v>751</c:v>
                </c:pt>
                <c:pt idx="11">
                  <c:v>1071</c:v>
                </c:pt>
              </c:numCache>
            </c:numRef>
          </c:val>
          <c:smooth val="0"/>
        </c:ser>
        <c:dLbls>
          <c:showLegendKey val="0"/>
          <c:showVal val="1"/>
          <c:showCatName val="0"/>
          <c:showSerName val="0"/>
          <c:showPercent val="0"/>
          <c:showBubbleSize val="0"/>
        </c:dLbls>
        <c:marker val="1"/>
        <c:smooth val="0"/>
        <c:axId val="107270144"/>
        <c:axId val="107271680"/>
      </c:lineChart>
      <c:catAx>
        <c:axId val="107270144"/>
        <c:scaling>
          <c:orientation val="minMax"/>
        </c:scaling>
        <c:delete val="0"/>
        <c:axPos val="b"/>
        <c:majorTickMark val="none"/>
        <c:minorTickMark val="none"/>
        <c:tickLblPos val="nextTo"/>
        <c:crossAx val="107271680"/>
        <c:crosses val="autoZero"/>
        <c:auto val="1"/>
        <c:lblAlgn val="ctr"/>
        <c:lblOffset val="100"/>
        <c:noMultiLvlLbl val="0"/>
      </c:catAx>
      <c:valAx>
        <c:axId val="107271680"/>
        <c:scaling>
          <c:orientation val="minMax"/>
        </c:scaling>
        <c:delete val="0"/>
        <c:axPos val="l"/>
        <c:majorGridlines/>
        <c:numFmt formatCode="General" sourceLinked="1"/>
        <c:majorTickMark val="none"/>
        <c:minorTickMark val="none"/>
        <c:tickLblPos val="nextTo"/>
        <c:crossAx val="1072701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2015</c:v>
                </c:pt>
              </c:strCache>
            </c:strRef>
          </c:tx>
          <c:invertIfNegative val="0"/>
          <c:cat>
            <c:strRef>
              <c:f>Лист1!$A$2</c:f>
              <c:strCache>
                <c:ptCount val="1"/>
                <c:pt idx="0">
                  <c:v>середньомісячне надходження</c:v>
                </c:pt>
              </c:strCache>
            </c:strRef>
          </c:cat>
          <c:val>
            <c:numRef>
              <c:f>Лист1!$B$2</c:f>
              <c:numCache>
                <c:formatCode>General</c:formatCode>
                <c:ptCount val="1"/>
                <c:pt idx="0">
                  <c:v>42</c:v>
                </c:pt>
              </c:numCache>
            </c:numRef>
          </c:val>
        </c:ser>
        <c:ser>
          <c:idx val="1"/>
          <c:order val="1"/>
          <c:tx>
            <c:strRef>
              <c:f>Лист1!$C$1</c:f>
              <c:strCache>
                <c:ptCount val="1"/>
                <c:pt idx="0">
                  <c:v>2016</c:v>
                </c:pt>
              </c:strCache>
            </c:strRef>
          </c:tx>
          <c:invertIfNegative val="0"/>
          <c:dPt>
            <c:idx val="0"/>
            <c:invertIfNegative val="0"/>
            <c:bubble3D val="0"/>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dPt>
          <c:cat>
            <c:strRef>
              <c:f>Лист1!$A$2</c:f>
              <c:strCache>
                <c:ptCount val="1"/>
                <c:pt idx="0">
                  <c:v>середньомісячне надходження</c:v>
                </c:pt>
              </c:strCache>
            </c:strRef>
          </c:cat>
          <c:val>
            <c:numRef>
              <c:f>Лист1!$C$2</c:f>
              <c:numCache>
                <c:formatCode>General</c:formatCode>
                <c:ptCount val="1"/>
                <c:pt idx="0">
                  <c:v>44</c:v>
                </c:pt>
              </c:numCache>
            </c:numRef>
          </c:val>
        </c:ser>
        <c:ser>
          <c:idx val="2"/>
          <c:order val="2"/>
          <c:tx>
            <c:strRef>
              <c:f>Лист1!$D$1</c:f>
              <c:strCache>
                <c:ptCount val="1"/>
                <c:pt idx="0">
                  <c:v>2017</c:v>
                </c:pt>
              </c:strCache>
            </c:strRef>
          </c:tx>
          <c:invertIfNegative val="0"/>
          <c:cat>
            <c:strRef>
              <c:f>Лист1!$A$2</c:f>
              <c:strCache>
                <c:ptCount val="1"/>
                <c:pt idx="0">
                  <c:v>середньомісячне надходження</c:v>
                </c:pt>
              </c:strCache>
            </c:strRef>
          </c:cat>
          <c:val>
            <c:numRef>
              <c:f>Лист1!$D$2</c:f>
              <c:numCache>
                <c:formatCode>General</c:formatCode>
                <c:ptCount val="1"/>
                <c:pt idx="0">
                  <c:v>67</c:v>
                </c:pt>
              </c:numCache>
            </c:numRef>
          </c:val>
        </c:ser>
        <c:dLbls>
          <c:showLegendKey val="0"/>
          <c:showVal val="1"/>
          <c:showCatName val="0"/>
          <c:showSerName val="0"/>
          <c:showPercent val="0"/>
          <c:showBubbleSize val="0"/>
        </c:dLbls>
        <c:gapWidth val="75"/>
        <c:overlap val="-8"/>
        <c:axId val="107348736"/>
        <c:axId val="107350272"/>
      </c:barChart>
      <c:catAx>
        <c:axId val="107348736"/>
        <c:scaling>
          <c:orientation val="minMax"/>
        </c:scaling>
        <c:delete val="0"/>
        <c:axPos val="b"/>
        <c:majorTickMark val="none"/>
        <c:minorTickMark val="none"/>
        <c:tickLblPos val="nextTo"/>
        <c:crossAx val="107350272"/>
        <c:crosses val="autoZero"/>
        <c:auto val="1"/>
        <c:lblAlgn val="ctr"/>
        <c:lblOffset val="100"/>
        <c:noMultiLvlLbl val="0"/>
      </c:catAx>
      <c:valAx>
        <c:axId val="107350272"/>
        <c:scaling>
          <c:orientation val="minMax"/>
        </c:scaling>
        <c:delete val="0"/>
        <c:axPos val="l"/>
        <c:numFmt formatCode="General" sourceLinked="1"/>
        <c:majorTickMark val="none"/>
        <c:minorTickMark val="none"/>
        <c:tickLblPos val="nextTo"/>
        <c:crossAx val="10734873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Лист1!$A$2:$A$14</c:f>
              <c:strCache>
                <c:ptCount val="13"/>
                <c:pt idx="0">
                  <c:v>Категория 1</c:v>
                </c:pt>
                <c:pt idx="1">
                  <c:v>Категория 2</c:v>
                </c:pt>
                <c:pt idx="2">
                  <c:v>Категория 3</c:v>
                </c:pt>
                <c:pt idx="3">
                  <c:v>Категория 4</c:v>
                </c:pt>
                <c:pt idx="4">
                  <c:v>Категория 5</c:v>
                </c:pt>
                <c:pt idx="5">
                  <c:v>Категория 6</c:v>
                </c:pt>
                <c:pt idx="6">
                  <c:v>Категория 7</c:v>
                </c:pt>
                <c:pt idx="7">
                  <c:v>Категория 8</c:v>
                </c:pt>
                <c:pt idx="8">
                  <c:v>Категория 9</c:v>
                </c:pt>
                <c:pt idx="9">
                  <c:v>Категория 10</c:v>
                </c:pt>
                <c:pt idx="10">
                  <c:v>Категория 11</c:v>
                </c:pt>
                <c:pt idx="11">
                  <c:v>Категория 12</c:v>
                </c:pt>
                <c:pt idx="12">
                  <c:v>Категория 13</c:v>
                </c:pt>
              </c:strCache>
            </c:strRef>
          </c:cat>
          <c:val>
            <c:numRef>
              <c:f>Лист1!$B$2:$B$14</c:f>
              <c:numCache>
                <c:formatCode>General</c:formatCode>
                <c:ptCount val="13"/>
                <c:pt idx="0">
                  <c:v>1</c:v>
                </c:pt>
                <c:pt idx="1">
                  <c:v>42</c:v>
                </c:pt>
                <c:pt idx="2">
                  <c:v>255</c:v>
                </c:pt>
                <c:pt idx="3">
                  <c:v>27</c:v>
                </c:pt>
                <c:pt idx="4">
                  <c:v>233</c:v>
                </c:pt>
                <c:pt idx="5">
                  <c:v>469</c:v>
                </c:pt>
                <c:pt idx="6">
                  <c:v>12</c:v>
                </c:pt>
                <c:pt idx="7">
                  <c:v>1599</c:v>
                </c:pt>
                <c:pt idx="8">
                  <c:v>281</c:v>
                </c:pt>
                <c:pt idx="9">
                  <c:v>398</c:v>
                </c:pt>
                <c:pt idx="10">
                  <c:v>226</c:v>
                </c:pt>
                <c:pt idx="11">
                  <c:v>688</c:v>
                </c:pt>
                <c:pt idx="12">
                  <c:v>0</c:v>
                </c:pt>
              </c:numCache>
            </c:numRef>
          </c:val>
        </c:ser>
        <c:ser>
          <c:idx val="1"/>
          <c:order val="1"/>
          <c:tx>
            <c:strRef>
              <c:f>Лист1!$C$1</c:f>
              <c:strCache>
                <c:ptCount val="1"/>
                <c:pt idx="0">
                  <c:v>2017</c:v>
                </c:pt>
              </c:strCache>
            </c:strRef>
          </c:tx>
          <c:invertIfNegative val="0"/>
          <c:cat>
            <c:strRef>
              <c:f>Лист1!$A$2:$A$14</c:f>
              <c:strCache>
                <c:ptCount val="13"/>
                <c:pt idx="0">
                  <c:v>Категория 1</c:v>
                </c:pt>
                <c:pt idx="1">
                  <c:v>Категория 2</c:v>
                </c:pt>
                <c:pt idx="2">
                  <c:v>Категория 3</c:v>
                </c:pt>
                <c:pt idx="3">
                  <c:v>Категория 4</c:v>
                </c:pt>
                <c:pt idx="4">
                  <c:v>Категория 5</c:v>
                </c:pt>
                <c:pt idx="5">
                  <c:v>Категория 6</c:v>
                </c:pt>
                <c:pt idx="6">
                  <c:v>Категория 7</c:v>
                </c:pt>
                <c:pt idx="7">
                  <c:v>Категория 8</c:v>
                </c:pt>
                <c:pt idx="8">
                  <c:v>Категория 9</c:v>
                </c:pt>
                <c:pt idx="9">
                  <c:v>Категория 10</c:v>
                </c:pt>
                <c:pt idx="10">
                  <c:v>Категория 11</c:v>
                </c:pt>
                <c:pt idx="11">
                  <c:v>Категория 12</c:v>
                </c:pt>
                <c:pt idx="12">
                  <c:v>Категория 13</c:v>
                </c:pt>
              </c:strCache>
            </c:strRef>
          </c:cat>
          <c:val>
            <c:numRef>
              <c:f>Лист1!$C$2:$C$14</c:f>
              <c:numCache>
                <c:formatCode>General</c:formatCode>
                <c:ptCount val="13"/>
                <c:pt idx="0">
                  <c:v>6</c:v>
                </c:pt>
                <c:pt idx="1">
                  <c:v>48</c:v>
                </c:pt>
                <c:pt idx="2">
                  <c:v>233</c:v>
                </c:pt>
                <c:pt idx="3">
                  <c:v>48</c:v>
                </c:pt>
                <c:pt idx="4">
                  <c:v>269</c:v>
                </c:pt>
                <c:pt idx="5">
                  <c:v>403</c:v>
                </c:pt>
                <c:pt idx="6">
                  <c:v>17</c:v>
                </c:pt>
                <c:pt idx="7">
                  <c:v>1549</c:v>
                </c:pt>
                <c:pt idx="8">
                  <c:v>155</c:v>
                </c:pt>
                <c:pt idx="9">
                  <c:v>1738</c:v>
                </c:pt>
                <c:pt idx="10">
                  <c:v>223</c:v>
                </c:pt>
                <c:pt idx="11">
                  <c:v>579</c:v>
                </c:pt>
                <c:pt idx="12">
                  <c:v>0</c:v>
                </c:pt>
              </c:numCache>
            </c:numRef>
          </c:val>
        </c:ser>
        <c:dLbls>
          <c:showLegendKey val="0"/>
          <c:showVal val="0"/>
          <c:showCatName val="0"/>
          <c:showSerName val="0"/>
          <c:showPercent val="0"/>
          <c:showBubbleSize val="0"/>
        </c:dLbls>
        <c:gapWidth val="150"/>
        <c:axId val="107558016"/>
        <c:axId val="107559552"/>
      </c:barChart>
      <c:catAx>
        <c:axId val="107558016"/>
        <c:scaling>
          <c:orientation val="minMax"/>
        </c:scaling>
        <c:delete val="0"/>
        <c:axPos val="b"/>
        <c:majorTickMark val="out"/>
        <c:minorTickMark val="none"/>
        <c:tickLblPos val="nextTo"/>
        <c:crossAx val="107559552"/>
        <c:crosses val="autoZero"/>
        <c:auto val="1"/>
        <c:lblAlgn val="ctr"/>
        <c:lblOffset val="100"/>
        <c:noMultiLvlLbl val="0"/>
      </c:catAx>
      <c:valAx>
        <c:axId val="107559552"/>
        <c:scaling>
          <c:orientation val="minMax"/>
          <c:max val="1800"/>
          <c:min val="0"/>
        </c:scaling>
        <c:delete val="0"/>
        <c:axPos val="l"/>
        <c:majorGridlines/>
        <c:numFmt formatCode="General" sourceLinked="1"/>
        <c:majorTickMark val="out"/>
        <c:minorTickMark val="none"/>
        <c:tickLblPos val="nextTo"/>
        <c:crossAx val="107558016"/>
        <c:crosses val="autoZero"/>
        <c:crossBetween val="between"/>
        <c:majorUnit val="100"/>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категорії справ у 2017 році</c:v>
                </c:pt>
              </c:strCache>
            </c:strRef>
          </c:tx>
          <c:cat>
            <c:strRef>
              <c:f>Лист1!$A$2:$A$13</c:f>
              <c:strCache>
                <c:ptCount val="12"/>
                <c:pt idx="0">
                  <c:v>Категорія 1-0%</c:v>
                </c:pt>
                <c:pt idx="1">
                  <c:v>Категорія 2-0%</c:v>
                </c:pt>
                <c:pt idx="2">
                  <c:v>Категорія 3-5%</c:v>
                </c:pt>
                <c:pt idx="3">
                  <c:v>Категорія 4-1%</c:v>
                </c:pt>
                <c:pt idx="4">
                  <c:v>Категорія 5-5%</c:v>
                </c:pt>
                <c:pt idx="5">
                  <c:v>Категорія 6-8%</c:v>
                </c:pt>
                <c:pt idx="6">
                  <c:v>Категорія 7-1%</c:v>
                </c:pt>
                <c:pt idx="7">
                  <c:v>Категорія 8-29%</c:v>
                </c:pt>
                <c:pt idx="8">
                  <c:v>Категорія 9-3%</c:v>
                </c:pt>
                <c:pt idx="9">
                  <c:v>Категорія 10-33%</c:v>
                </c:pt>
                <c:pt idx="10">
                  <c:v>Категорія 11-4%</c:v>
                </c:pt>
                <c:pt idx="11">
                  <c:v>Категорія 12-11%</c:v>
                </c:pt>
              </c:strCache>
            </c:strRef>
          </c:cat>
          <c:val>
            <c:numRef>
              <c:f>Лист1!$B$2:$B$13</c:f>
              <c:numCache>
                <c:formatCode>General</c:formatCode>
                <c:ptCount val="12"/>
                <c:pt idx="0" formatCode="0%">
                  <c:v>0</c:v>
                </c:pt>
                <c:pt idx="1">
                  <c:v>0</c:v>
                </c:pt>
                <c:pt idx="2">
                  <c:v>5</c:v>
                </c:pt>
                <c:pt idx="3">
                  <c:v>1</c:v>
                </c:pt>
                <c:pt idx="4">
                  <c:v>5</c:v>
                </c:pt>
                <c:pt idx="5">
                  <c:v>8</c:v>
                </c:pt>
                <c:pt idx="6">
                  <c:v>1</c:v>
                </c:pt>
                <c:pt idx="7">
                  <c:v>29</c:v>
                </c:pt>
                <c:pt idx="8">
                  <c:v>3</c:v>
                </c:pt>
                <c:pt idx="9">
                  <c:v>33</c:v>
                </c:pt>
                <c:pt idx="10">
                  <c:v>4</c:v>
                </c:pt>
                <c:pt idx="11">
                  <c:v>11</c:v>
                </c:pt>
              </c:numCache>
            </c:numRef>
          </c:val>
        </c:ser>
        <c:dLbls>
          <c:showLegendKey val="0"/>
          <c:showVal val="0"/>
          <c:showCatName val="0"/>
          <c:showSerName val="0"/>
          <c:showPercent val="1"/>
          <c:showBubbleSize val="0"/>
          <c:showLeaderLines val="0"/>
        </c:dLbls>
        <c:firstSliceAng val="0"/>
      </c:pieChart>
    </c:plotArea>
    <c:legend>
      <c:legendPos val="r"/>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033619004058188E-2"/>
          <c:y val="5.3966451308970993E-2"/>
          <c:w val="0.91454669728783899"/>
          <c:h val="0.67873553805774278"/>
        </c:manualLayout>
      </c:layout>
      <c:barChart>
        <c:barDir val="col"/>
        <c:grouping val="clustered"/>
        <c:varyColors val="0"/>
        <c:ser>
          <c:idx val="0"/>
          <c:order val="0"/>
          <c:tx>
            <c:strRef>
              <c:f>Лист1!$B$1</c:f>
              <c:strCache>
                <c:ptCount val="1"/>
                <c:pt idx="0">
                  <c:v>2015</c:v>
                </c:pt>
              </c:strCache>
            </c:strRef>
          </c:tx>
          <c:invertIfNegative val="0"/>
          <c:cat>
            <c:strRef>
              <c:f>Лист1!$A$2</c:f>
              <c:strCache>
                <c:ptCount val="1"/>
                <c:pt idx="0">
                  <c:v>середньомісячний показник розгляду</c:v>
                </c:pt>
              </c:strCache>
            </c:strRef>
          </c:cat>
          <c:val>
            <c:numRef>
              <c:f>Лист1!$B$2</c:f>
              <c:numCache>
                <c:formatCode>General</c:formatCode>
                <c:ptCount val="1"/>
                <c:pt idx="0">
                  <c:v>44</c:v>
                </c:pt>
              </c:numCache>
            </c:numRef>
          </c:val>
        </c:ser>
        <c:ser>
          <c:idx val="1"/>
          <c:order val="1"/>
          <c:tx>
            <c:strRef>
              <c:f>Лист1!$C$1</c:f>
              <c:strCache>
                <c:ptCount val="1"/>
                <c:pt idx="0">
                  <c:v>2016</c:v>
                </c:pt>
              </c:strCache>
            </c:strRef>
          </c:tx>
          <c:invertIfNegative val="0"/>
          <c:dPt>
            <c:idx val="0"/>
            <c:invertIfNegative val="0"/>
            <c:bubble3D val="0"/>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dPt>
          <c:cat>
            <c:strRef>
              <c:f>Лист1!$A$2</c:f>
              <c:strCache>
                <c:ptCount val="1"/>
                <c:pt idx="0">
                  <c:v>середньомісячний показник розгляду</c:v>
                </c:pt>
              </c:strCache>
            </c:strRef>
          </c:cat>
          <c:val>
            <c:numRef>
              <c:f>Лист1!$C$2</c:f>
              <c:numCache>
                <c:formatCode>General</c:formatCode>
                <c:ptCount val="1"/>
                <c:pt idx="0">
                  <c:v>45</c:v>
                </c:pt>
              </c:numCache>
            </c:numRef>
          </c:val>
        </c:ser>
        <c:ser>
          <c:idx val="2"/>
          <c:order val="2"/>
          <c:tx>
            <c:strRef>
              <c:f>Лист1!$D$1</c:f>
              <c:strCache>
                <c:ptCount val="1"/>
                <c:pt idx="0">
                  <c:v>2017</c:v>
                </c:pt>
              </c:strCache>
            </c:strRef>
          </c:tx>
          <c:invertIfNegative val="0"/>
          <c:cat>
            <c:strRef>
              <c:f>Лист1!$A$2</c:f>
              <c:strCache>
                <c:ptCount val="1"/>
                <c:pt idx="0">
                  <c:v>середньомісячний показник розгляду</c:v>
                </c:pt>
              </c:strCache>
            </c:strRef>
          </c:cat>
          <c:val>
            <c:numRef>
              <c:f>Лист1!$D$2</c:f>
              <c:numCache>
                <c:formatCode>General</c:formatCode>
                <c:ptCount val="1"/>
                <c:pt idx="0">
                  <c:v>48</c:v>
                </c:pt>
              </c:numCache>
            </c:numRef>
          </c:val>
        </c:ser>
        <c:dLbls>
          <c:showLegendKey val="0"/>
          <c:showVal val="1"/>
          <c:showCatName val="0"/>
          <c:showSerName val="0"/>
          <c:showPercent val="0"/>
          <c:showBubbleSize val="0"/>
        </c:dLbls>
        <c:gapWidth val="75"/>
        <c:overlap val="-8"/>
        <c:axId val="107721088"/>
        <c:axId val="107722624"/>
      </c:barChart>
      <c:catAx>
        <c:axId val="107721088"/>
        <c:scaling>
          <c:orientation val="minMax"/>
        </c:scaling>
        <c:delete val="0"/>
        <c:axPos val="b"/>
        <c:majorTickMark val="none"/>
        <c:minorTickMark val="none"/>
        <c:tickLblPos val="nextTo"/>
        <c:crossAx val="107722624"/>
        <c:crosses val="autoZero"/>
        <c:auto val="1"/>
        <c:lblAlgn val="ctr"/>
        <c:lblOffset val="100"/>
        <c:noMultiLvlLbl val="0"/>
      </c:catAx>
      <c:valAx>
        <c:axId val="107722624"/>
        <c:scaling>
          <c:orientation val="minMax"/>
        </c:scaling>
        <c:delete val="0"/>
        <c:axPos val="l"/>
        <c:numFmt formatCode="General" sourceLinked="1"/>
        <c:majorTickMark val="none"/>
        <c:minorTickMark val="none"/>
        <c:tickLblPos val="nextTo"/>
        <c:crossAx val="10772108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layout/>
      <c:overlay val="0"/>
    </c:title>
    <c:autoTitleDeleted val="0"/>
    <c:plotArea>
      <c:layout/>
      <c:pieChart>
        <c:varyColors val="1"/>
        <c:ser>
          <c:idx val="0"/>
          <c:order val="0"/>
          <c:tx>
            <c:strRef>
              <c:f>Лист1!$B$1</c:f>
              <c:strCache>
                <c:ptCount val="1"/>
                <c:pt idx="0">
                  <c:v>позовні заяви</c:v>
                </c:pt>
              </c:strCache>
            </c:strRef>
          </c:tx>
          <c:cat>
            <c:strRef>
              <c:f>Лист1!$A$2:$A$6</c:f>
              <c:strCache>
                <c:ptCount val="5"/>
                <c:pt idx="0">
                  <c:v>відкрито</c:v>
                </c:pt>
                <c:pt idx="1">
                  <c:v>повернуто</c:v>
                </c:pt>
                <c:pt idx="2">
                  <c:v>залишено без розгляду</c:v>
                </c:pt>
                <c:pt idx="3">
                  <c:v>відмовлено у відкритті</c:v>
                </c:pt>
                <c:pt idx="4">
                  <c:v>залишок</c:v>
                </c:pt>
              </c:strCache>
            </c:strRef>
          </c:cat>
          <c:val>
            <c:numRef>
              <c:f>Лист1!$B$2:$B$6</c:f>
              <c:numCache>
                <c:formatCode>0%</c:formatCode>
                <c:ptCount val="5"/>
                <c:pt idx="0">
                  <c:v>0.81</c:v>
                </c:pt>
                <c:pt idx="1">
                  <c:v>0.14000000000000001</c:v>
                </c:pt>
                <c:pt idx="2" formatCode="0.00%">
                  <c:v>4.000000000000001E-5</c:v>
                </c:pt>
                <c:pt idx="3" formatCode="0.00%">
                  <c:v>2.0000000000000004E-2</c:v>
                </c:pt>
                <c:pt idx="4">
                  <c:v>3.0000000000000002E-2</c:v>
                </c:pt>
              </c:numCache>
            </c:numRef>
          </c:val>
        </c:ser>
        <c:dLbls>
          <c:showLegendKey val="0"/>
          <c:showVal val="0"/>
          <c:showCatName val="0"/>
          <c:showSerName val="0"/>
          <c:showPercent val="1"/>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layout/>
      <c:overlay val="0"/>
    </c:title>
    <c:autoTitleDeleted val="0"/>
    <c:plotArea>
      <c:layout/>
      <c:pieChart>
        <c:varyColors val="1"/>
        <c:ser>
          <c:idx val="0"/>
          <c:order val="0"/>
          <c:tx>
            <c:strRef>
              <c:f>Лист1!$B$1</c:f>
              <c:strCache>
                <c:ptCount val="1"/>
                <c:pt idx="0">
                  <c:v>справи</c:v>
                </c:pt>
              </c:strCache>
            </c:strRef>
          </c:tx>
          <c:cat>
            <c:strRef>
              <c:f>Лист1!$A$2:$A$6</c:f>
              <c:strCache>
                <c:ptCount val="5"/>
                <c:pt idx="0">
                  <c:v>задоволено</c:v>
                </c:pt>
                <c:pt idx="1">
                  <c:v>відмовлено</c:v>
                </c:pt>
                <c:pt idx="2">
                  <c:v>залишено без розгляду</c:v>
                </c:pt>
                <c:pt idx="3">
                  <c:v>закрито провадження</c:v>
                </c:pt>
                <c:pt idx="4">
                  <c:v>залишок</c:v>
                </c:pt>
              </c:strCache>
            </c:strRef>
          </c:cat>
          <c:val>
            <c:numRef>
              <c:f>Лист1!$B$2:$B$6</c:f>
              <c:numCache>
                <c:formatCode>0%</c:formatCode>
                <c:ptCount val="5"/>
                <c:pt idx="0">
                  <c:v>0.52</c:v>
                </c:pt>
                <c:pt idx="1">
                  <c:v>0.12000000000000001</c:v>
                </c:pt>
                <c:pt idx="2" formatCode="0.00%">
                  <c:v>8.0000000000000016E-2</c:v>
                </c:pt>
                <c:pt idx="3" formatCode="0.00%">
                  <c:v>3.0000000000000002E-2</c:v>
                </c:pt>
                <c:pt idx="4">
                  <c:v>0.25</c:v>
                </c:pt>
              </c:numCache>
            </c:numRef>
          </c:val>
        </c:ser>
        <c:dLbls>
          <c:showLegendKey val="0"/>
          <c:showVal val="0"/>
          <c:showCatName val="0"/>
          <c:showSerName val="0"/>
          <c:showPercent val="1"/>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layout/>
      <c:overlay val="0"/>
    </c:title>
    <c:autoTitleDeleted val="0"/>
    <c:plotArea>
      <c:layout/>
      <c:pieChart>
        <c:varyColors val="1"/>
        <c:ser>
          <c:idx val="0"/>
          <c:order val="0"/>
          <c:tx>
            <c:strRef>
              <c:f>Лист1!$B$1</c:f>
              <c:strCache>
                <c:ptCount val="1"/>
                <c:pt idx="0">
                  <c:v>матеріали</c:v>
                </c:pt>
              </c:strCache>
            </c:strRef>
          </c:tx>
          <c:cat>
            <c:strRef>
              <c:f>Лист1!$A$2:$A$6</c:f>
              <c:strCache>
                <c:ptCount val="5"/>
                <c:pt idx="0">
                  <c:v>задоволено</c:v>
                </c:pt>
                <c:pt idx="1">
                  <c:v>відмовлено у задоволенні</c:v>
                </c:pt>
                <c:pt idx="2">
                  <c:v>залишено без розгляду</c:v>
                </c:pt>
                <c:pt idx="3">
                  <c:v>повернуто</c:v>
                </c:pt>
                <c:pt idx="4">
                  <c:v>залишок</c:v>
                </c:pt>
              </c:strCache>
            </c:strRef>
          </c:cat>
          <c:val>
            <c:numRef>
              <c:f>Лист1!$B$2:$B$6</c:f>
              <c:numCache>
                <c:formatCode>0%</c:formatCode>
                <c:ptCount val="5"/>
                <c:pt idx="0">
                  <c:v>0.66000000000000014</c:v>
                </c:pt>
                <c:pt idx="1">
                  <c:v>0.25</c:v>
                </c:pt>
                <c:pt idx="2" formatCode="0.00%">
                  <c:v>1.0000000000000002E-2</c:v>
                </c:pt>
                <c:pt idx="3" formatCode="0.00%">
                  <c:v>1.0000000000000002E-2</c:v>
                </c:pt>
                <c:pt idx="4">
                  <c:v>7.0000000000000021E-2</c:v>
                </c:pt>
              </c:numCache>
            </c:numRef>
          </c:val>
        </c:ser>
        <c:dLbls>
          <c:showLegendKey val="0"/>
          <c:showVal val="0"/>
          <c:showCatName val="0"/>
          <c:showSerName val="0"/>
          <c:showPercent val="1"/>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5598-26C0-42F2-AE91-5181EB6B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17</Pages>
  <Words>22160</Words>
  <Characters>12632</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u1</cp:lastModifiedBy>
  <cp:revision>49</cp:revision>
  <cp:lastPrinted>2018-02-06T08:04:00Z</cp:lastPrinted>
  <dcterms:created xsi:type="dcterms:W3CDTF">2018-01-16T13:12:00Z</dcterms:created>
  <dcterms:modified xsi:type="dcterms:W3CDTF">2018-02-26T11:10:00Z</dcterms:modified>
</cp:coreProperties>
</file>