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1C" w:rsidRDefault="00207F89" w:rsidP="00070D1C">
      <w:pPr>
        <w:widowControl w:val="0"/>
        <w:spacing w:after="0" w:line="0" w:lineRule="atLeast"/>
        <w:jc w:val="center"/>
        <w:rPr>
          <w:rFonts w:ascii="Times New Roman" w:eastAsia="Times New Roman" w:hAnsi="Times New Roman" w:cs="Times New Roman"/>
          <w:b/>
          <w:bCs/>
          <w:color w:val="000000"/>
          <w:sz w:val="28"/>
          <w:szCs w:val="28"/>
          <w:lang w:eastAsia="uk-UA" w:bidi="uk-UA"/>
        </w:rPr>
      </w:pPr>
      <w:r w:rsidRPr="00070D1C">
        <w:rPr>
          <w:rFonts w:ascii="Times New Roman" w:eastAsia="Times New Roman" w:hAnsi="Times New Roman" w:cs="Times New Roman"/>
          <w:b/>
          <w:bCs/>
          <w:color w:val="000000"/>
          <w:sz w:val="28"/>
          <w:szCs w:val="28"/>
          <w:lang w:eastAsia="uk-UA" w:bidi="uk-UA"/>
        </w:rPr>
        <w:t>Огляд даних</w:t>
      </w:r>
    </w:p>
    <w:p w:rsidR="00070D1C" w:rsidRDefault="00207F89" w:rsidP="00070D1C">
      <w:pPr>
        <w:widowControl w:val="0"/>
        <w:spacing w:after="0" w:line="0" w:lineRule="atLeast"/>
        <w:jc w:val="center"/>
        <w:rPr>
          <w:rFonts w:ascii="Times New Roman" w:eastAsia="Times New Roman" w:hAnsi="Times New Roman" w:cs="Times New Roman"/>
          <w:b/>
          <w:bCs/>
          <w:color w:val="000000"/>
          <w:sz w:val="28"/>
          <w:szCs w:val="28"/>
          <w:lang w:eastAsia="uk-UA" w:bidi="uk-UA"/>
        </w:rPr>
      </w:pPr>
      <w:r w:rsidRPr="00070D1C">
        <w:rPr>
          <w:rFonts w:ascii="Times New Roman" w:eastAsia="Times New Roman" w:hAnsi="Times New Roman" w:cs="Times New Roman"/>
          <w:b/>
          <w:bCs/>
          <w:color w:val="000000"/>
          <w:sz w:val="28"/>
          <w:szCs w:val="28"/>
          <w:lang w:eastAsia="uk-UA" w:bidi="uk-UA"/>
        </w:rPr>
        <w:t xml:space="preserve"> судової статистики</w:t>
      </w:r>
      <w:r w:rsidR="00070D1C">
        <w:rPr>
          <w:rFonts w:ascii="Times New Roman" w:eastAsia="Times New Roman" w:hAnsi="Times New Roman" w:cs="Times New Roman"/>
          <w:b/>
          <w:bCs/>
          <w:color w:val="000000"/>
          <w:sz w:val="28"/>
          <w:szCs w:val="28"/>
          <w:lang w:eastAsia="uk-UA" w:bidi="uk-UA"/>
        </w:rPr>
        <w:t xml:space="preserve"> </w:t>
      </w:r>
      <w:r w:rsidRPr="00070D1C">
        <w:rPr>
          <w:rFonts w:ascii="Times New Roman" w:eastAsia="Times New Roman" w:hAnsi="Times New Roman" w:cs="Times New Roman"/>
          <w:b/>
          <w:bCs/>
          <w:color w:val="000000"/>
          <w:sz w:val="28"/>
          <w:szCs w:val="28"/>
          <w:lang w:eastAsia="uk-UA" w:bidi="uk-UA"/>
        </w:rPr>
        <w:t>про стан здійснення судочинства</w:t>
      </w:r>
    </w:p>
    <w:p w:rsidR="00207F89" w:rsidRPr="00070D1C" w:rsidRDefault="00207F89" w:rsidP="00070D1C">
      <w:pPr>
        <w:widowControl w:val="0"/>
        <w:spacing w:after="0" w:line="0" w:lineRule="atLeast"/>
        <w:jc w:val="center"/>
        <w:rPr>
          <w:rFonts w:ascii="Times New Roman" w:eastAsia="Times New Roman" w:hAnsi="Times New Roman" w:cs="Times New Roman"/>
          <w:b/>
          <w:bCs/>
          <w:color w:val="000000"/>
          <w:sz w:val="28"/>
          <w:szCs w:val="28"/>
          <w:lang w:eastAsia="uk-UA" w:bidi="uk-UA"/>
        </w:rPr>
      </w:pPr>
      <w:r w:rsidRPr="00070D1C">
        <w:rPr>
          <w:rFonts w:ascii="Times New Roman" w:eastAsia="Times New Roman" w:hAnsi="Times New Roman" w:cs="Times New Roman"/>
          <w:b/>
          <w:bCs/>
          <w:color w:val="000000"/>
          <w:sz w:val="28"/>
          <w:szCs w:val="28"/>
          <w:lang w:eastAsia="uk-UA" w:bidi="uk-UA"/>
        </w:rPr>
        <w:t xml:space="preserve"> Львівським окружним адміністративним судом</w:t>
      </w:r>
    </w:p>
    <w:p w:rsidR="00207F89" w:rsidRPr="00070D1C" w:rsidRDefault="008D4B05" w:rsidP="00070D1C">
      <w:pPr>
        <w:widowControl w:val="0"/>
        <w:spacing w:after="0" w:line="0" w:lineRule="atLeast"/>
        <w:jc w:val="center"/>
        <w:rPr>
          <w:rFonts w:ascii="Times New Roman" w:eastAsia="Times New Roman" w:hAnsi="Times New Roman" w:cs="Times New Roman"/>
          <w:b/>
          <w:bCs/>
          <w:color w:val="000000"/>
          <w:sz w:val="28"/>
          <w:szCs w:val="28"/>
          <w:lang w:eastAsia="uk-UA" w:bidi="uk-UA"/>
        </w:rPr>
      </w:pPr>
      <w:r w:rsidRPr="00070D1C">
        <w:rPr>
          <w:rFonts w:ascii="Times New Roman" w:eastAsia="Times New Roman" w:hAnsi="Times New Roman" w:cs="Times New Roman"/>
          <w:b/>
          <w:bCs/>
          <w:color w:val="000000"/>
          <w:sz w:val="28"/>
          <w:szCs w:val="28"/>
          <w:lang w:eastAsia="uk-UA" w:bidi="uk-UA"/>
        </w:rPr>
        <w:t>за 2018</w:t>
      </w:r>
      <w:r w:rsidR="00207F89" w:rsidRPr="00070D1C">
        <w:rPr>
          <w:rFonts w:ascii="Times New Roman" w:eastAsia="Times New Roman" w:hAnsi="Times New Roman" w:cs="Times New Roman"/>
          <w:b/>
          <w:bCs/>
          <w:color w:val="000000"/>
          <w:sz w:val="28"/>
          <w:szCs w:val="28"/>
          <w:lang w:eastAsia="uk-UA" w:bidi="uk-UA"/>
        </w:rPr>
        <w:t xml:space="preserve"> рік</w:t>
      </w:r>
    </w:p>
    <w:p w:rsidR="00207F89" w:rsidRPr="00207F89" w:rsidRDefault="00207F89" w:rsidP="00207F89">
      <w:pPr>
        <w:widowControl w:val="0"/>
        <w:spacing w:after="0" w:line="0" w:lineRule="atLeast"/>
        <w:jc w:val="center"/>
        <w:rPr>
          <w:rFonts w:ascii="Times New Roman" w:eastAsia="Times New Roman" w:hAnsi="Times New Roman" w:cs="Times New Roman"/>
          <w:b/>
          <w:bCs/>
          <w:color w:val="000000"/>
          <w:sz w:val="26"/>
          <w:szCs w:val="26"/>
          <w:lang w:eastAsia="uk-UA" w:bidi="uk-UA"/>
        </w:rPr>
      </w:pPr>
    </w:p>
    <w:p w:rsid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Відповідно до статті 2 Закону України «Про судоустрій і статус суддів», завданням суду є забезпечення права на справедливий суд та повагу до інших прав і свобод, гарантованих Конституцією і законами України, а також міжнародними договорами, згода на обов’язковість яких надана Верховною Радою України. Основне завдання адміністративного суду полягає у захисті прав та законних інтересів, перш за все, громадян та юридичних осіб у спорах із суб’єктами владних повноважень.</w:t>
      </w:r>
    </w:p>
    <w:p w:rsidR="000A6D5E" w:rsidRPr="00207F89" w:rsidRDefault="000A6D5E"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Для покращення об’єктивності статистичних звітів та з метою проведення аналітичної роботи Львівським окружним адміністративним судом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їх подання, а саме збільшено кількість щотижневих моніторингів щодо кількісних та якісних показників суду. </w:t>
      </w:r>
    </w:p>
    <w:p w:rsidR="00207F89" w:rsidRPr="00207F89" w:rsidRDefault="008D4B05"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Упродовж 2018</w:t>
      </w:r>
      <w:r w:rsidR="00207F89" w:rsidRPr="00207F89">
        <w:rPr>
          <w:rFonts w:ascii="Times New Roman" w:eastAsia="Times New Roman" w:hAnsi="Times New Roman" w:cs="Times New Roman"/>
          <w:color w:val="000000"/>
          <w:sz w:val="24"/>
          <w:szCs w:val="24"/>
          <w:lang w:eastAsia="uk-UA" w:bidi="uk-UA"/>
        </w:rPr>
        <w:t xml:space="preserve"> року Львівським окружним адміністративним судом </w:t>
      </w:r>
      <w:r w:rsidR="004815C0">
        <w:rPr>
          <w:rFonts w:ascii="Times New Roman" w:eastAsia="Times New Roman" w:hAnsi="Times New Roman" w:cs="Times New Roman"/>
          <w:color w:val="000000"/>
          <w:sz w:val="24"/>
          <w:szCs w:val="24"/>
          <w:lang w:eastAsia="uk-UA" w:bidi="uk-UA"/>
        </w:rPr>
        <w:t>були вжиті</w:t>
      </w:r>
      <w:r w:rsidR="00207F89" w:rsidRPr="00207F89">
        <w:rPr>
          <w:rFonts w:ascii="Times New Roman" w:eastAsia="Times New Roman" w:hAnsi="Times New Roman" w:cs="Times New Roman"/>
          <w:color w:val="000000"/>
          <w:sz w:val="24"/>
          <w:szCs w:val="24"/>
          <w:lang w:eastAsia="uk-UA" w:bidi="uk-UA"/>
        </w:rPr>
        <w:t xml:space="preserve"> заходи, спрямовані на забезпечення належного рівня здійснення право</w:t>
      </w:r>
      <w:r w:rsidR="000A6D5E">
        <w:rPr>
          <w:rFonts w:ascii="Times New Roman" w:eastAsia="Times New Roman" w:hAnsi="Times New Roman" w:cs="Times New Roman"/>
          <w:color w:val="000000"/>
          <w:sz w:val="24"/>
          <w:szCs w:val="24"/>
          <w:lang w:eastAsia="uk-UA" w:bidi="uk-UA"/>
        </w:rPr>
        <w:t>суддя</w:t>
      </w:r>
      <w:r w:rsidR="004815C0">
        <w:rPr>
          <w:rFonts w:ascii="Times New Roman" w:eastAsia="Times New Roman" w:hAnsi="Times New Roman" w:cs="Times New Roman"/>
          <w:color w:val="000000"/>
          <w:sz w:val="24"/>
          <w:szCs w:val="24"/>
          <w:lang w:eastAsia="uk-UA" w:bidi="uk-UA"/>
        </w:rPr>
        <w:t xml:space="preserve"> </w:t>
      </w:r>
      <w:r w:rsidR="000A6D5E">
        <w:rPr>
          <w:rFonts w:ascii="Times New Roman" w:eastAsia="Times New Roman" w:hAnsi="Times New Roman" w:cs="Times New Roman"/>
          <w:color w:val="000000"/>
          <w:sz w:val="24"/>
          <w:szCs w:val="24"/>
          <w:lang w:eastAsia="uk-UA" w:bidi="uk-UA"/>
        </w:rPr>
        <w:t xml:space="preserve">та, в першу чергу, </w:t>
      </w:r>
      <w:r w:rsidR="004815C0">
        <w:rPr>
          <w:rFonts w:ascii="Times New Roman" w:eastAsia="Times New Roman" w:hAnsi="Times New Roman" w:cs="Times New Roman"/>
          <w:color w:val="000000"/>
          <w:sz w:val="24"/>
          <w:szCs w:val="24"/>
          <w:lang w:eastAsia="uk-UA" w:bidi="uk-UA"/>
        </w:rPr>
        <w:t>захисту прав та</w:t>
      </w:r>
      <w:r w:rsidR="00207F89" w:rsidRPr="00207F89">
        <w:rPr>
          <w:rFonts w:ascii="Times New Roman" w:eastAsia="Times New Roman" w:hAnsi="Times New Roman" w:cs="Times New Roman"/>
          <w:color w:val="000000"/>
          <w:sz w:val="24"/>
          <w:szCs w:val="24"/>
          <w:lang w:eastAsia="uk-UA" w:bidi="uk-UA"/>
        </w:rPr>
        <w:t xml:space="preserve"> інтересів фізичних осіб, прав та інтересів юридичних осіб у сфері публічно-правових відносин від порушень з боку органів державної влади, органів місцевого самоврядування, їхніх посадових і службових осіб, </w:t>
      </w:r>
      <w:r w:rsidR="000A6D5E">
        <w:rPr>
          <w:rFonts w:ascii="Times New Roman" w:eastAsia="Times New Roman" w:hAnsi="Times New Roman" w:cs="Times New Roman"/>
          <w:color w:val="000000"/>
          <w:sz w:val="24"/>
          <w:szCs w:val="24"/>
          <w:lang w:eastAsia="uk-UA" w:bidi="uk-UA"/>
        </w:rPr>
        <w:t xml:space="preserve">та захисту прав </w:t>
      </w:r>
      <w:r w:rsidR="00207F89" w:rsidRPr="00207F89">
        <w:rPr>
          <w:rFonts w:ascii="Times New Roman" w:eastAsia="Times New Roman" w:hAnsi="Times New Roman" w:cs="Times New Roman"/>
          <w:color w:val="000000"/>
          <w:sz w:val="24"/>
          <w:szCs w:val="24"/>
          <w:lang w:eastAsia="uk-UA" w:bidi="uk-UA"/>
        </w:rPr>
        <w:t>інших суб’єктів при здійсненні ними владних управлінських функцій.</w:t>
      </w:r>
    </w:p>
    <w:p w:rsidR="00207F89" w:rsidRPr="00207F89" w:rsidRDefault="002443E1"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Штатним розписом</w:t>
      </w:r>
      <w:r w:rsidR="00207F89" w:rsidRPr="00207F89">
        <w:rPr>
          <w:rFonts w:ascii="Times New Roman" w:eastAsia="Times New Roman" w:hAnsi="Times New Roman" w:cs="Times New Roman"/>
          <w:color w:val="000000"/>
          <w:sz w:val="24"/>
          <w:szCs w:val="24"/>
          <w:lang w:eastAsia="uk-UA" w:bidi="uk-UA"/>
        </w:rPr>
        <w:t xml:space="preserve"> Львівського окружного </w:t>
      </w:r>
      <w:r>
        <w:rPr>
          <w:rFonts w:ascii="Times New Roman" w:eastAsia="Times New Roman" w:hAnsi="Times New Roman" w:cs="Times New Roman"/>
          <w:color w:val="000000"/>
          <w:sz w:val="24"/>
          <w:szCs w:val="24"/>
          <w:lang w:eastAsia="uk-UA" w:bidi="uk-UA"/>
        </w:rPr>
        <w:t>адміністративного суду</w:t>
      </w:r>
      <w:r w:rsidR="000A6D5E">
        <w:rPr>
          <w:rFonts w:ascii="Times New Roman" w:eastAsia="Times New Roman" w:hAnsi="Times New Roman" w:cs="Times New Roman"/>
          <w:color w:val="000000"/>
          <w:sz w:val="24"/>
          <w:szCs w:val="24"/>
          <w:lang w:eastAsia="uk-UA" w:bidi="uk-UA"/>
        </w:rPr>
        <w:t xml:space="preserve"> на 2018 рік </w:t>
      </w:r>
      <w:r>
        <w:rPr>
          <w:rFonts w:ascii="Times New Roman" w:eastAsia="Times New Roman" w:hAnsi="Times New Roman" w:cs="Times New Roman"/>
          <w:color w:val="000000"/>
          <w:sz w:val="24"/>
          <w:szCs w:val="24"/>
          <w:lang w:eastAsia="uk-UA" w:bidi="uk-UA"/>
        </w:rPr>
        <w:t xml:space="preserve"> передбачено</w:t>
      </w:r>
      <w:r w:rsidR="00207F89" w:rsidRPr="00207F89">
        <w:rPr>
          <w:rFonts w:ascii="Times New Roman" w:eastAsia="Times New Roman" w:hAnsi="Times New Roman" w:cs="Times New Roman"/>
          <w:color w:val="000000"/>
          <w:sz w:val="24"/>
          <w:szCs w:val="24"/>
          <w:lang w:eastAsia="uk-UA" w:bidi="uk-UA"/>
        </w:rPr>
        <w:t xml:space="preserve"> 31</w:t>
      </w:r>
      <w:r>
        <w:rPr>
          <w:rFonts w:ascii="Times New Roman" w:eastAsia="Times New Roman" w:hAnsi="Times New Roman" w:cs="Times New Roman"/>
          <w:color w:val="000000"/>
          <w:sz w:val="24"/>
          <w:szCs w:val="24"/>
          <w:lang w:eastAsia="uk-UA" w:bidi="uk-UA"/>
        </w:rPr>
        <w:t xml:space="preserve"> посаду судді. П</w:t>
      </w:r>
      <w:r w:rsidR="00207F89" w:rsidRPr="00207F89">
        <w:rPr>
          <w:rFonts w:ascii="Times New Roman" w:eastAsia="Times New Roman" w:hAnsi="Times New Roman" w:cs="Times New Roman"/>
          <w:color w:val="000000"/>
          <w:sz w:val="24"/>
          <w:szCs w:val="24"/>
          <w:lang w:eastAsia="uk-UA" w:bidi="uk-UA"/>
        </w:rPr>
        <w:t xml:space="preserve">роте фактична кількість суддів, </w:t>
      </w:r>
      <w:r w:rsidR="008D4B05">
        <w:rPr>
          <w:rFonts w:ascii="Times New Roman" w:eastAsia="Times New Roman" w:hAnsi="Times New Roman" w:cs="Times New Roman"/>
          <w:color w:val="000000"/>
          <w:sz w:val="24"/>
          <w:szCs w:val="24"/>
          <w:lang w:eastAsia="uk-UA" w:bidi="uk-UA"/>
        </w:rPr>
        <w:t>що здійснювали правосуддя у 2018</w:t>
      </w:r>
      <w:r w:rsidR="00207F89" w:rsidRPr="00207F89">
        <w:rPr>
          <w:rFonts w:ascii="Times New Roman" w:eastAsia="Times New Roman" w:hAnsi="Times New Roman" w:cs="Times New Roman"/>
          <w:color w:val="000000"/>
          <w:sz w:val="24"/>
          <w:szCs w:val="24"/>
          <w:lang w:eastAsia="uk-UA" w:bidi="uk-UA"/>
        </w:rPr>
        <w:t xml:space="preserve"> році </w:t>
      </w:r>
      <w:r w:rsidR="008D4B05">
        <w:rPr>
          <w:rFonts w:ascii="Times New Roman" w:eastAsia="Times New Roman" w:hAnsi="Times New Roman" w:cs="Times New Roman"/>
          <w:color w:val="000000"/>
          <w:sz w:val="24"/>
          <w:szCs w:val="24"/>
          <w:lang w:eastAsia="uk-UA" w:bidi="uk-UA"/>
        </w:rPr>
        <w:t xml:space="preserve">становила 18 суддів, оскільки 4 посади суддів вакантні, 8 суддів не мають повноважень для здійснення правосуддя та 1 суддя перебуває у відпустці по догляду за дитиною.  </w:t>
      </w:r>
    </w:p>
    <w:p w:rsidR="00207F89" w:rsidRP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Завданням даного аналізу є відображення процесів, що відбувалися при здійсненні правосуддя у 201</w:t>
      </w:r>
      <w:r w:rsidR="008D4B05">
        <w:rPr>
          <w:rFonts w:ascii="Times New Roman" w:eastAsia="Times New Roman" w:hAnsi="Times New Roman" w:cs="Times New Roman"/>
          <w:color w:val="000000"/>
          <w:sz w:val="24"/>
          <w:szCs w:val="24"/>
          <w:lang w:eastAsia="uk-UA" w:bidi="uk-UA"/>
        </w:rPr>
        <w:t>8</w:t>
      </w:r>
      <w:r w:rsidRPr="00207F89">
        <w:rPr>
          <w:rFonts w:ascii="Times New Roman" w:eastAsia="Times New Roman" w:hAnsi="Times New Roman" w:cs="Times New Roman"/>
          <w:color w:val="000000"/>
          <w:sz w:val="24"/>
          <w:szCs w:val="24"/>
          <w:lang w:eastAsia="uk-UA" w:bidi="uk-UA"/>
        </w:rPr>
        <w:t xml:space="preserve"> році. Використання такої статистичної інформації має важливе значення для своєчасного виявлення тенденцій, що виникають у судовій діяльності, їх аналізу та вжиття необхідних заходів для усунення недоліків у роботі, підвищення рівня здійснення судочинства.</w:t>
      </w:r>
    </w:p>
    <w:p w:rsidR="00207F89" w:rsidRDefault="00207F89"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Метою статистичного аналізу є визначення кількісних характеристик об’єкта дослідження з урахуванням суб’єктного та предметного складу адміністративних позовів, що надійшли до Львівського окружно</w:t>
      </w:r>
      <w:r w:rsidR="008D4B05">
        <w:rPr>
          <w:rFonts w:ascii="Times New Roman" w:eastAsia="Times New Roman" w:hAnsi="Times New Roman" w:cs="Times New Roman"/>
          <w:color w:val="000000"/>
          <w:sz w:val="24"/>
          <w:szCs w:val="24"/>
          <w:lang w:eastAsia="uk-UA" w:bidi="uk-UA"/>
        </w:rPr>
        <w:t>го адміністративного суду в 2018</w:t>
      </w:r>
      <w:r w:rsidRPr="00207F89">
        <w:rPr>
          <w:rFonts w:ascii="Times New Roman" w:eastAsia="Times New Roman" w:hAnsi="Times New Roman" w:cs="Times New Roman"/>
          <w:color w:val="000000"/>
          <w:sz w:val="24"/>
          <w:szCs w:val="24"/>
          <w:lang w:eastAsia="uk-UA" w:bidi="uk-UA"/>
        </w:rPr>
        <w:t xml:space="preserve"> році.</w:t>
      </w:r>
    </w:p>
    <w:p w:rsidR="000A6D5E" w:rsidRPr="00207F89" w:rsidRDefault="000A6D5E" w:rsidP="00207F89">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Об’єктом дослідження – є показники звітів за формами № 1-а, № 1-оас, № 10 за 2018 рік у порівнянні із показниками звітів за 2017 рік.</w:t>
      </w:r>
    </w:p>
    <w:p w:rsidR="00207F89" w:rsidRPr="00730446" w:rsidRDefault="00207F89" w:rsidP="00730446">
      <w:pPr>
        <w:widowControl w:val="0"/>
        <w:spacing w:after="0" w:line="0" w:lineRule="atLeast"/>
        <w:ind w:firstLine="760"/>
        <w:jc w:val="both"/>
        <w:rPr>
          <w:rFonts w:ascii="Times New Roman" w:eastAsia="Times New Roman" w:hAnsi="Times New Roman" w:cs="Times New Roman"/>
          <w:color w:val="000000"/>
          <w:sz w:val="24"/>
          <w:szCs w:val="24"/>
          <w:lang w:eastAsia="uk-UA" w:bidi="uk-UA"/>
        </w:rPr>
      </w:pPr>
      <w:r w:rsidRPr="004815C0">
        <w:rPr>
          <w:rFonts w:ascii="Times New Roman" w:eastAsia="Times New Roman" w:hAnsi="Times New Roman" w:cs="Times New Roman"/>
          <w:color w:val="000000"/>
          <w:sz w:val="24"/>
          <w:szCs w:val="24"/>
          <w:lang w:eastAsia="uk-UA" w:bidi="uk-UA"/>
        </w:rPr>
        <w:t>Головними аспектами аналізу є відоб</w:t>
      </w:r>
      <w:r w:rsidR="00E20AC8" w:rsidRPr="004815C0">
        <w:rPr>
          <w:rFonts w:ascii="Times New Roman" w:eastAsia="Times New Roman" w:hAnsi="Times New Roman" w:cs="Times New Roman"/>
          <w:color w:val="000000"/>
          <w:sz w:val="24"/>
          <w:szCs w:val="24"/>
          <w:lang w:eastAsia="uk-UA" w:bidi="uk-UA"/>
        </w:rPr>
        <w:t>раження загальних показників навантаження суду</w:t>
      </w:r>
      <w:r w:rsidRPr="004815C0">
        <w:rPr>
          <w:rFonts w:ascii="Times New Roman" w:eastAsia="Times New Roman" w:hAnsi="Times New Roman" w:cs="Times New Roman"/>
          <w:color w:val="000000"/>
          <w:sz w:val="24"/>
          <w:szCs w:val="24"/>
          <w:lang w:eastAsia="uk-UA" w:bidi="uk-UA"/>
        </w:rPr>
        <w:t xml:space="preserve">; </w:t>
      </w:r>
      <w:r w:rsidR="00E41780">
        <w:rPr>
          <w:rFonts w:ascii="Times New Roman" w:eastAsia="Times New Roman" w:hAnsi="Times New Roman" w:cs="Times New Roman"/>
          <w:color w:val="000000"/>
          <w:sz w:val="24"/>
          <w:szCs w:val="24"/>
          <w:lang w:eastAsia="uk-UA" w:bidi="uk-UA"/>
        </w:rPr>
        <w:t xml:space="preserve">середньомісячного навантаження на одного суддю; </w:t>
      </w:r>
      <w:r w:rsidRPr="004815C0">
        <w:rPr>
          <w:rFonts w:ascii="Times New Roman" w:eastAsia="Times New Roman" w:hAnsi="Times New Roman" w:cs="Times New Roman"/>
          <w:color w:val="000000"/>
          <w:sz w:val="24"/>
          <w:szCs w:val="24"/>
          <w:lang w:eastAsia="uk-UA" w:bidi="uk-UA"/>
        </w:rPr>
        <w:t>кількості справ та матеріалів розглянутих судом за окремими категоріями; якість розгляду судо</w:t>
      </w:r>
      <w:r w:rsidR="004815C0" w:rsidRPr="004815C0">
        <w:rPr>
          <w:rFonts w:ascii="Times New Roman" w:eastAsia="Times New Roman" w:hAnsi="Times New Roman" w:cs="Times New Roman"/>
          <w:color w:val="000000"/>
          <w:sz w:val="24"/>
          <w:szCs w:val="24"/>
          <w:lang w:eastAsia="uk-UA" w:bidi="uk-UA"/>
        </w:rPr>
        <w:t>вих справ</w:t>
      </w:r>
      <w:r w:rsidR="00E41780">
        <w:rPr>
          <w:rFonts w:ascii="Times New Roman" w:eastAsia="Times New Roman" w:hAnsi="Times New Roman" w:cs="Times New Roman"/>
          <w:color w:val="000000"/>
          <w:sz w:val="24"/>
          <w:szCs w:val="24"/>
          <w:lang w:eastAsia="uk-UA" w:bidi="uk-UA"/>
        </w:rPr>
        <w:t xml:space="preserve"> та строки їх вирішення</w:t>
      </w:r>
      <w:r w:rsidRPr="004815C0">
        <w:rPr>
          <w:rFonts w:ascii="Times New Roman" w:eastAsia="Times New Roman" w:hAnsi="Times New Roman" w:cs="Times New Roman"/>
          <w:color w:val="000000"/>
          <w:sz w:val="24"/>
          <w:szCs w:val="24"/>
          <w:lang w:eastAsia="uk-UA" w:bidi="uk-UA"/>
        </w:rPr>
        <w:t>.</w:t>
      </w:r>
    </w:p>
    <w:p w:rsidR="004815C0" w:rsidRDefault="004815C0"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730446" w:rsidRPr="00207F89" w:rsidRDefault="00730446"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207F89" w:rsidRPr="00A53ABD" w:rsidRDefault="00E20AC8" w:rsidP="00A53ABD">
      <w:pPr>
        <w:pStyle w:val="ac"/>
        <w:ind w:left="720"/>
        <w:rPr>
          <w:sz w:val="24"/>
          <w:szCs w:val="24"/>
        </w:rPr>
      </w:pPr>
      <w:r w:rsidRPr="00A53ABD">
        <w:rPr>
          <w:rFonts w:eastAsia="Times New Roman"/>
          <w:sz w:val="24"/>
          <w:szCs w:val="24"/>
          <w:lang w:eastAsia="uk-UA"/>
        </w:rPr>
        <w:t xml:space="preserve">І. </w:t>
      </w:r>
      <w:r w:rsidR="00A53ABD" w:rsidRPr="00A53ABD">
        <w:rPr>
          <w:sz w:val="24"/>
          <w:szCs w:val="24"/>
        </w:rPr>
        <w:t xml:space="preserve">Обсяг надходження справ і </w:t>
      </w:r>
      <w:r w:rsidR="004815C0">
        <w:rPr>
          <w:sz w:val="24"/>
          <w:szCs w:val="24"/>
        </w:rPr>
        <w:t>матеріалів</w:t>
      </w:r>
    </w:p>
    <w:p w:rsidR="00207F89" w:rsidRPr="00207F89" w:rsidRDefault="00207F89"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F569D1" w:rsidRDefault="00B914C0" w:rsidP="00F569D1">
      <w:pPr>
        <w:widowControl w:val="0"/>
        <w:spacing w:after="0" w:line="0" w:lineRule="atLeast"/>
        <w:ind w:firstLine="78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Відповідно до </w:t>
      </w:r>
      <w:r w:rsidR="00237DCF">
        <w:rPr>
          <w:rFonts w:ascii="Times New Roman" w:eastAsia="Times New Roman" w:hAnsi="Times New Roman" w:cs="Times New Roman"/>
          <w:sz w:val="24"/>
          <w:szCs w:val="24"/>
          <w:lang w:eastAsia="uk-UA"/>
        </w:rPr>
        <w:t>звіту форми № 1-оас «Звіт окружних адміністративних судів про розгляд судових справ», затвердженої наказом ДСА України № 311 від 09.03.2017, у Львівському окружному адміністративному суді</w:t>
      </w:r>
      <w:r>
        <w:rPr>
          <w:rFonts w:ascii="Times New Roman" w:eastAsia="Times New Roman" w:hAnsi="Times New Roman" w:cs="Times New Roman"/>
          <w:sz w:val="24"/>
          <w:szCs w:val="24"/>
          <w:lang w:eastAsia="uk-UA"/>
        </w:rPr>
        <w:t xml:space="preserve"> в 2018 році на розгляді перебувало 13535 справ та матеріалів. Із них справи становлять 5917, що дорівнює 44%, та матеріали 7618, що відповідно дорівнює 56%. </w:t>
      </w:r>
    </w:p>
    <w:p w:rsidR="00F569D1" w:rsidRDefault="00B914C0" w:rsidP="00746591">
      <w:pPr>
        <w:widowControl w:val="0"/>
        <w:spacing w:after="0" w:line="0" w:lineRule="atLeast"/>
        <w:ind w:firstLine="78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Як бачимо, переважає кількість матеріалів, </w:t>
      </w:r>
      <w:r w:rsidR="001D3278">
        <w:rPr>
          <w:rFonts w:ascii="Times New Roman" w:eastAsia="Times New Roman" w:hAnsi="Times New Roman" w:cs="Times New Roman"/>
          <w:sz w:val="24"/>
          <w:szCs w:val="24"/>
          <w:lang w:eastAsia="uk-UA"/>
        </w:rPr>
        <w:t>а це</w:t>
      </w:r>
      <w:r w:rsidR="00F569D1">
        <w:rPr>
          <w:rFonts w:ascii="Times New Roman" w:eastAsia="Times New Roman" w:hAnsi="Times New Roman" w:cs="Times New Roman"/>
          <w:sz w:val="24"/>
          <w:szCs w:val="24"/>
          <w:lang w:eastAsia="uk-UA"/>
        </w:rPr>
        <w:t xml:space="preserve"> справи розглянуті на підставі:</w:t>
      </w:r>
    </w:p>
    <w:p w:rsidR="00F569D1" w:rsidRDefault="00F569D1" w:rsidP="00F569D1">
      <w:pPr>
        <w:pStyle w:val="a9"/>
        <w:widowControl w:val="0"/>
        <w:numPr>
          <w:ilvl w:val="0"/>
          <w:numId w:val="12"/>
        </w:numPr>
        <w:spacing w:after="0" w:line="0" w:lineRule="atLeast"/>
        <w:jc w:val="both"/>
        <w:rPr>
          <w:rFonts w:ascii="Times New Roman" w:eastAsia="Times New Roman" w:hAnsi="Times New Roman" w:cs="Times New Roman"/>
          <w:sz w:val="24"/>
          <w:szCs w:val="24"/>
          <w:lang w:eastAsia="uk-UA"/>
        </w:rPr>
      </w:pPr>
      <w:r w:rsidRPr="00F569D1">
        <w:rPr>
          <w:rFonts w:ascii="Times New Roman" w:eastAsia="Times New Roman" w:hAnsi="Times New Roman" w:cs="Times New Roman"/>
          <w:sz w:val="24"/>
          <w:szCs w:val="24"/>
          <w:lang w:eastAsia="uk-UA"/>
        </w:rPr>
        <w:t>заяв</w:t>
      </w:r>
      <w:r w:rsidR="00B914C0" w:rsidRPr="00F569D1">
        <w:rPr>
          <w:rFonts w:ascii="Times New Roman" w:eastAsia="Times New Roman" w:hAnsi="Times New Roman" w:cs="Times New Roman"/>
          <w:sz w:val="24"/>
          <w:szCs w:val="24"/>
          <w:lang w:eastAsia="uk-UA"/>
        </w:rPr>
        <w:t xml:space="preserve"> в порядку</w:t>
      </w:r>
      <w:r>
        <w:rPr>
          <w:rFonts w:ascii="Times New Roman" w:eastAsia="Times New Roman" w:hAnsi="Times New Roman" w:cs="Times New Roman"/>
          <w:sz w:val="24"/>
          <w:szCs w:val="24"/>
          <w:lang w:eastAsia="uk-UA"/>
        </w:rPr>
        <w:t xml:space="preserve"> виконання судових рішень;</w:t>
      </w:r>
    </w:p>
    <w:p w:rsidR="00F569D1" w:rsidRDefault="00F569D1" w:rsidP="00F569D1">
      <w:pPr>
        <w:pStyle w:val="a9"/>
        <w:widowControl w:val="0"/>
        <w:numPr>
          <w:ilvl w:val="0"/>
          <w:numId w:val="12"/>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заяв/клопотань</w:t>
      </w:r>
      <w:r w:rsidR="00B914C0" w:rsidRPr="00F569D1">
        <w:rPr>
          <w:rFonts w:ascii="Times New Roman" w:eastAsia="Times New Roman" w:hAnsi="Times New Roman" w:cs="Times New Roman"/>
          <w:sz w:val="24"/>
          <w:szCs w:val="24"/>
          <w:lang w:eastAsia="uk-UA"/>
        </w:rPr>
        <w:t xml:space="preserve"> про </w:t>
      </w:r>
      <w:r>
        <w:rPr>
          <w:rFonts w:ascii="Times New Roman" w:eastAsia="Times New Roman" w:hAnsi="Times New Roman" w:cs="Times New Roman"/>
          <w:sz w:val="24"/>
          <w:szCs w:val="24"/>
          <w:lang w:eastAsia="uk-UA"/>
        </w:rPr>
        <w:t>забезпечення доказів або позову;</w:t>
      </w:r>
    </w:p>
    <w:p w:rsidR="00F569D1" w:rsidRDefault="00F569D1" w:rsidP="00F569D1">
      <w:pPr>
        <w:pStyle w:val="a9"/>
        <w:widowControl w:val="0"/>
        <w:numPr>
          <w:ilvl w:val="0"/>
          <w:numId w:val="12"/>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заяв/клопотань</w:t>
      </w:r>
      <w:r w:rsidR="00746591" w:rsidRPr="00F569D1">
        <w:rPr>
          <w:rFonts w:ascii="Times New Roman" w:eastAsia="Times New Roman" w:hAnsi="Times New Roman" w:cs="Times New Roman"/>
          <w:sz w:val="24"/>
          <w:szCs w:val="24"/>
          <w:lang w:eastAsia="uk-UA"/>
        </w:rPr>
        <w:t xml:space="preserve"> </w:t>
      </w:r>
      <w:r w:rsidRPr="00F569D1">
        <w:rPr>
          <w:rFonts w:ascii="Times New Roman" w:eastAsia="Times New Roman" w:hAnsi="Times New Roman" w:cs="Times New Roman"/>
          <w:sz w:val="24"/>
          <w:szCs w:val="24"/>
          <w:lang w:eastAsia="uk-UA"/>
        </w:rPr>
        <w:t>про скасування або заміну</w:t>
      </w:r>
      <w:r w:rsidR="00B914C0" w:rsidRPr="00F569D1">
        <w:rPr>
          <w:rFonts w:ascii="Times New Roman" w:eastAsia="Times New Roman" w:hAnsi="Times New Roman" w:cs="Times New Roman"/>
          <w:sz w:val="24"/>
          <w:szCs w:val="24"/>
          <w:lang w:eastAsia="uk-UA"/>
        </w:rPr>
        <w:t xml:space="preserve"> спосо</w:t>
      </w:r>
      <w:r>
        <w:rPr>
          <w:rFonts w:ascii="Times New Roman" w:eastAsia="Times New Roman" w:hAnsi="Times New Roman" w:cs="Times New Roman"/>
          <w:sz w:val="24"/>
          <w:szCs w:val="24"/>
          <w:lang w:eastAsia="uk-UA"/>
        </w:rPr>
        <w:t>бу забезпечення;</w:t>
      </w:r>
    </w:p>
    <w:p w:rsidR="00F569D1" w:rsidRDefault="00F569D1" w:rsidP="00F569D1">
      <w:pPr>
        <w:pStyle w:val="a9"/>
        <w:widowControl w:val="0"/>
        <w:numPr>
          <w:ilvl w:val="0"/>
          <w:numId w:val="12"/>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доручень</w:t>
      </w:r>
      <w:r w:rsidR="00746591" w:rsidRPr="00F569D1">
        <w:rPr>
          <w:rFonts w:ascii="Times New Roman" w:eastAsia="Times New Roman" w:hAnsi="Times New Roman" w:cs="Times New Roman"/>
          <w:sz w:val="24"/>
          <w:szCs w:val="24"/>
          <w:lang w:eastAsia="uk-UA"/>
        </w:rPr>
        <w:t xml:space="preserve"> інших судів про вч</w:t>
      </w:r>
      <w:r>
        <w:rPr>
          <w:rFonts w:ascii="Times New Roman" w:eastAsia="Times New Roman" w:hAnsi="Times New Roman" w:cs="Times New Roman"/>
          <w:sz w:val="24"/>
          <w:szCs w:val="24"/>
          <w:lang w:eastAsia="uk-UA"/>
        </w:rPr>
        <w:t>инення певних процесуальних дій;</w:t>
      </w:r>
    </w:p>
    <w:p w:rsidR="00B914C0" w:rsidRPr="00F569D1" w:rsidRDefault="00F569D1" w:rsidP="00F569D1">
      <w:pPr>
        <w:pStyle w:val="a9"/>
        <w:widowControl w:val="0"/>
        <w:numPr>
          <w:ilvl w:val="0"/>
          <w:numId w:val="12"/>
        </w:num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заяв</w:t>
      </w:r>
      <w:r w:rsidR="00746591" w:rsidRPr="00F569D1">
        <w:rPr>
          <w:rFonts w:ascii="Times New Roman" w:eastAsia="Times New Roman" w:hAnsi="Times New Roman" w:cs="Times New Roman"/>
          <w:sz w:val="24"/>
          <w:szCs w:val="24"/>
          <w:lang w:eastAsia="uk-UA"/>
        </w:rPr>
        <w:t xml:space="preserve"> про перегляд рішень за </w:t>
      </w:r>
      <w:proofErr w:type="spellStart"/>
      <w:r w:rsidR="00746591" w:rsidRPr="00F569D1">
        <w:rPr>
          <w:rFonts w:ascii="Times New Roman" w:eastAsia="Times New Roman" w:hAnsi="Times New Roman" w:cs="Times New Roman"/>
          <w:sz w:val="24"/>
          <w:szCs w:val="24"/>
          <w:lang w:eastAsia="uk-UA"/>
        </w:rPr>
        <w:t>нововиявленими</w:t>
      </w:r>
      <w:proofErr w:type="spellEnd"/>
      <w:r w:rsidR="00746591" w:rsidRPr="00F569D1">
        <w:rPr>
          <w:rFonts w:ascii="Times New Roman" w:eastAsia="Times New Roman" w:hAnsi="Times New Roman" w:cs="Times New Roman"/>
          <w:sz w:val="24"/>
          <w:szCs w:val="24"/>
          <w:lang w:eastAsia="uk-UA"/>
        </w:rPr>
        <w:t xml:space="preserve"> обставинами.</w:t>
      </w:r>
      <w:r w:rsidR="00B914C0" w:rsidRPr="00F569D1">
        <w:rPr>
          <w:rFonts w:ascii="Times New Roman" w:eastAsia="Times New Roman" w:hAnsi="Times New Roman" w:cs="Times New Roman"/>
          <w:sz w:val="24"/>
          <w:szCs w:val="24"/>
          <w:lang w:eastAsia="uk-UA"/>
        </w:rPr>
        <w:t xml:space="preserve"> </w:t>
      </w:r>
    </w:p>
    <w:p w:rsidR="00207F89" w:rsidRDefault="00207F89" w:rsidP="00207F89">
      <w:pPr>
        <w:widowControl w:val="0"/>
        <w:spacing w:after="0" w:line="0" w:lineRule="atLeast"/>
        <w:ind w:firstLine="782"/>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 xml:space="preserve">Аналізуючи основні показники </w:t>
      </w:r>
      <w:r w:rsidR="008D4B05">
        <w:rPr>
          <w:rFonts w:ascii="Times New Roman" w:eastAsia="Times New Roman" w:hAnsi="Times New Roman" w:cs="Times New Roman"/>
          <w:sz w:val="24"/>
          <w:szCs w:val="24"/>
          <w:lang w:eastAsia="uk-UA"/>
        </w:rPr>
        <w:t>здійснення судочинства за 2018</w:t>
      </w:r>
      <w:r w:rsidRPr="00207F89">
        <w:rPr>
          <w:rFonts w:ascii="Times New Roman" w:eastAsia="Times New Roman" w:hAnsi="Times New Roman" w:cs="Times New Roman"/>
          <w:sz w:val="24"/>
          <w:szCs w:val="24"/>
          <w:lang w:eastAsia="uk-UA"/>
        </w:rPr>
        <w:t xml:space="preserve"> р</w:t>
      </w:r>
      <w:r w:rsidR="008D4B05">
        <w:rPr>
          <w:rFonts w:ascii="Times New Roman" w:eastAsia="Times New Roman" w:hAnsi="Times New Roman" w:cs="Times New Roman"/>
          <w:sz w:val="24"/>
          <w:szCs w:val="24"/>
          <w:lang w:eastAsia="uk-UA"/>
        </w:rPr>
        <w:t xml:space="preserve">оку із аналогічним </w:t>
      </w:r>
      <w:r w:rsidR="008D4B05">
        <w:rPr>
          <w:rFonts w:ascii="Times New Roman" w:eastAsia="Times New Roman" w:hAnsi="Times New Roman" w:cs="Times New Roman"/>
          <w:sz w:val="24"/>
          <w:szCs w:val="24"/>
          <w:lang w:eastAsia="uk-UA"/>
        </w:rPr>
        <w:lastRenderedPageBreak/>
        <w:t>періодом 2017 та 2016</w:t>
      </w:r>
      <w:r w:rsidRPr="00207F89">
        <w:rPr>
          <w:rFonts w:ascii="Times New Roman" w:eastAsia="Times New Roman" w:hAnsi="Times New Roman" w:cs="Times New Roman"/>
          <w:sz w:val="24"/>
          <w:szCs w:val="24"/>
          <w:lang w:eastAsia="uk-UA"/>
        </w:rPr>
        <w:t xml:space="preserve"> року можна констатувати, що </w:t>
      </w:r>
      <w:r>
        <w:rPr>
          <w:rFonts w:ascii="Times New Roman" w:eastAsia="Times New Roman" w:hAnsi="Times New Roman" w:cs="Times New Roman"/>
          <w:sz w:val="24"/>
          <w:szCs w:val="24"/>
          <w:lang w:eastAsia="uk-UA"/>
        </w:rPr>
        <w:t>навантаження на суд збі</w:t>
      </w:r>
      <w:r w:rsidRPr="00207F89">
        <w:rPr>
          <w:rFonts w:ascii="Times New Roman" w:eastAsia="Times New Roman" w:hAnsi="Times New Roman" w:cs="Times New Roman"/>
          <w:sz w:val="24"/>
          <w:szCs w:val="24"/>
          <w:lang w:eastAsia="uk-UA"/>
        </w:rPr>
        <w:t>льши</w:t>
      </w:r>
      <w:r>
        <w:rPr>
          <w:rFonts w:ascii="Times New Roman" w:eastAsia="Times New Roman" w:hAnsi="Times New Roman" w:cs="Times New Roman"/>
          <w:sz w:val="24"/>
          <w:szCs w:val="24"/>
          <w:lang w:eastAsia="uk-UA"/>
        </w:rPr>
        <w:t>лось</w:t>
      </w:r>
      <w:r w:rsidRPr="00207F89">
        <w:rPr>
          <w:rFonts w:ascii="Times New Roman" w:eastAsia="Times New Roman" w:hAnsi="Times New Roman" w:cs="Times New Roman"/>
          <w:sz w:val="24"/>
          <w:szCs w:val="24"/>
          <w:lang w:eastAsia="uk-UA"/>
        </w:rPr>
        <w:t>.</w:t>
      </w:r>
    </w:p>
    <w:p w:rsidR="00770962" w:rsidRDefault="008D4B05" w:rsidP="00207F89">
      <w:pPr>
        <w:widowControl w:val="0"/>
        <w:spacing w:after="0" w:line="0" w:lineRule="atLeast"/>
        <w:ind w:firstLine="782"/>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Порівняння навантаження за 2016, 2017, 2018</w:t>
      </w:r>
      <w:r w:rsidR="00770962">
        <w:rPr>
          <w:rFonts w:ascii="Times New Roman" w:eastAsia="Times New Roman" w:hAnsi="Times New Roman" w:cs="Times New Roman"/>
          <w:sz w:val="24"/>
          <w:szCs w:val="24"/>
          <w:lang w:eastAsia="uk-UA"/>
        </w:rPr>
        <w:t xml:space="preserve"> роки наведено у наступній діаграмі. </w:t>
      </w:r>
    </w:p>
    <w:p w:rsidR="00770962" w:rsidRDefault="00770962" w:rsidP="00207F89">
      <w:pPr>
        <w:widowControl w:val="0"/>
        <w:spacing w:after="0" w:line="0" w:lineRule="atLeast"/>
        <w:ind w:firstLine="782"/>
        <w:jc w:val="both"/>
        <w:rPr>
          <w:rFonts w:ascii="Times New Roman" w:eastAsia="Times New Roman" w:hAnsi="Times New Roman" w:cs="Times New Roman"/>
          <w:sz w:val="24"/>
          <w:szCs w:val="24"/>
          <w:lang w:eastAsia="uk-UA"/>
        </w:rPr>
      </w:pPr>
    </w:p>
    <w:p w:rsidR="00770962" w:rsidRDefault="00844D6D" w:rsidP="00844D6D">
      <w:pPr>
        <w:widowControl w:val="0"/>
        <w:spacing w:after="0" w:line="0" w:lineRule="atLeast"/>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362575" cy="145732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30446" w:rsidRDefault="00730446"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746591" w:rsidRDefault="00A55FC9" w:rsidP="0088685E">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У</w:t>
      </w:r>
      <w:r w:rsidR="002B4286">
        <w:rPr>
          <w:rFonts w:ascii="Times New Roman" w:eastAsia="Times New Roman" w:hAnsi="Times New Roman" w:cs="Times New Roman"/>
          <w:color w:val="000000"/>
          <w:sz w:val="24"/>
          <w:szCs w:val="24"/>
          <w:lang w:eastAsia="uk-UA" w:bidi="uk-UA"/>
        </w:rPr>
        <w:t xml:space="preserve"> 2018</w:t>
      </w:r>
      <w:r>
        <w:rPr>
          <w:rFonts w:ascii="Times New Roman" w:eastAsia="Times New Roman" w:hAnsi="Times New Roman" w:cs="Times New Roman"/>
          <w:color w:val="000000"/>
          <w:sz w:val="24"/>
          <w:szCs w:val="24"/>
          <w:lang w:eastAsia="uk-UA" w:bidi="uk-UA"/>
        </w:rPr>
        <w:t xml:space="preserve"> році</w:t>
      </w:r>
      <w:r w:rsidR="00207F89" w:rsidRPr="00207F89">
        <w:rPr>
          <w:rFonts w:ascii="Times New Roman" w:eastAsia="Times New Roman" w:hAnsi="Times New Roman" w:cs="Times New Roman"/>
          <w:color w:val="000000"/>
          <w:sz w:val="24"/>
          <w:szCs w:val="24"/>
          <w:lang w:eastAsia="uk-UA" w:bidi="uk-UA"/>
        </w:rPr>
        <w:t xml:space="preserve"> на розгляд суду надійшло </w:t>
      </w:r>
      <w:r w:rsidR="00723740">
        <w:rPr>
          <w:rFonts w:ascii="Times New Roman" w:eastAsia="Times New Roman" w:hAnsi="Times New Roman" w:cs="Times New Roman"/>
          <w:color w:val="000000"/>
          <w:sz w:val="24"/>
          <w:szCs w:val="24"/>
          <w:lang w:eastAsia="uk-UA" w:bidi="uk-UA"/>
        </w:rPr>
        <w:t>11940</w:t>
      </w:r>
      <w:r w:rsidR="00207F89" w:rsidRPr="00207F89">
        <w:rPr>
          <w:rFonts w:ascii="Times New Roman" w:eastAsia="Times New Roman" w:hAnsi="Times New Roman" w:cs="Times New Roman"/>
          <w:color w:val="000000"/>
          <w:sz w:val="24"/>
          <w:szCs w:val="24"/>
          <w:lang w:eastAsia="uk-UA" w:bidi="uk-UA"/>
        </w:rPr>
        <w:t xml:space="preserve"> справ і матеріалів</w:t>
      </w:r>
      <w:r w:rsidR="002B4286">
        <w:rPr>
          <w:rFonts w:ascii="Times New Roman" w:eastAsia="Times New Roman" w:hAnsi="Times New Roman" w:cs="Times New Roman"/>
          <w:color w:val="000000"/>
          <w:sz w:val="24"/>
          <w:szCs w:val="24"/>
          <w:lang w:eastAsia="uk-UA" w:bidi="uk-UA"/>
        </w:rPr>
        <w:t xml:space="preserve">, </w:t>
      </w:r>
      <w:r w:rsidR="00746591">
        <w:rPr>
          <w:rFonts w:ascii="Times New Roman" w:eastAsia="Times New Roman" w:hAnsi="Times New Roman" w:cs="Times New Roman"/>
          <w:color w:val="000000"/>
          <w:sz w:val="24"/>
          <w:szCs w:val="24"/>
          <w:lang w:eastAsia="uk-UA" w:bidi="uk-UA"/>
        </w:rPr>
        <w:t>що на 60</w:t>
      </w:r>
      <w:r w:rsidR="002F03F4">
        <w:rPr>
          <w:rFonts w:ascii="Times New Roman" w:eastAsia="Times New Roman" w:hAnsi="Times New Roman" w:cs="Times New Roman"/>
          <w:color w:val="000000"/>
          <w:sz w:val="24"/>
          <w:szCs w:val="24"/>
          <w:lang w:eastAsia="uk-UA" w:bidi="uk-UA"/>
        </w:rPr>
        <w:t>%</w:t>
      </w:r>
      <w:r w:rsidR="00207F89">
        <w:rPr>
          <w:rFonts w:ascii="Times New Roman" w:eastAsia="Times New Roman" w:hAnsi="Times New Roman" w:cs="Times New Roman"/>
          <w:color w:val="000000"/>
          <w:sz w:val="24"/>
          <w:szCs w:val="24"/>
          <w:lang w:eastAsia="uk-UA" w:bidi="uk-UA"/>
        </w:rPr>
        <w:t xml:space="preserve"> більше</w:t>
      </w:r>
      <w:r w:rsidR="002B4286">
        <w:rPr>
          <w:rFonts w:ascii="Times New Roman" w:eastAsia="Times New Roman" w:hAnsi="Times New Roman" w:cs="Times New Roman"/>
          <w:color w:val="000000"/>
          <w:sz w:val="24"/>
          <w:szCs w:val="24"/>
          <w:lang w:eastAsia="uk-UA" w:bidi="uk-UA"/>
        </w:rPr>
        <w:t xml:space="preserve"> порівняно із 2017</w:t>
      </w:r>
      <w:r w:rsidR="00207F89" w:rsidRPr="00207F89">
        <w:rPr>
          <w:rFonts w:ascii="Times New Roman" w:eastAsia="Times New Roman" w:hAnsi="Times New Roman" w:cs="Times New Roman"/>
          <w:color w:val="000000"/>
          <w:sz w:val="24"/>
          <w:szCs w:val="24"/>
          <w:lang w:eastAsia="uk-UA" w:bidi="uk-UA"/>
        </w:rPr>
        <w:t xml:space="preserve"> роком</w:t>
      </w:r>
      <w:r w:rsidR="002B4286">
        <w:rPr>
          <w:rFonts w:ascii="Times New Roman" w:eastAsia="Times New Roman" w:hAnsi="Times New Roman" w:cs="Times New Roman"/>
          <w:color w:val="000000"/>
          <w:sz w:val="24"/>
          <w:szCs w:val="24"/>
          <w:lang w:eastAsia="uk-UA" w:bidi="uk-UA"/>
        </w:rPr>
        <w:t xml:space="preserve"> (7443</w:t>
      </w:r>
      <w:r w:rsidR="002F03F4">
        <w:rPr>
          <w:rFonts w:ascii="Times New Roman" w:eastAsia="Times New Roman" w:hAnsi="Times New Roman" w:cs="Times New Roman"/>
          <w:color w:val="000000"/>
          <w:sz w:val="24"/>
          <w:szCs w:val="24"/>
          <w:lang w:eastAsia="uk-UA" w:bidi="uk-UA"/>
        </w:rPr>
        <w:t>)</w:t>
      </w:r>
      <w:r w:rsidR="00207F89" w:rsidRPr="00207F89">
        <w:rPr>
          <w:rFonts w:ascii="Times New Roman" w:eastAsia="Times New Roman" w:hAnsi="Times New Roman" w:cs="Times New Roman"/>
          <w:color w:val="000000"/>
          <w:sz w:val="24"/>
          <w:szCs w:val="24"/>
          <w:lang w:eastAsia="uk-UA" w:bidi="uk-UA"/>
        </w:rPr>
        <w:t>.</w:t>
      </w:r>
      <w:r w:rsidR="00746591">
        <w:rPr>
          <w:rFonts w:ascii="Times New Roman" w:eastAsia="Times New Roman" w:hAnsi="Times New Roman" w:cs="Times New Roman"/>
          <w:color w:val="000000"/>
          <w:sz w:val="24"/>
          <w:szCs w:val="24"/>
          <w:lang w:eastAsia="uk-UA" w:bidi="uk-UA"/>
        </w:rPr>
        <w:t xml:space="preserve"> Збільшення находження справ зумовлено в першу чергу </w:t>
      </w:r>
      <w:r w:rsidR="00DD7B6A">
        <w:rPr>
          <w:rFonts w:ascii="Times New Roman" w:eastAsia="Times New Roman" w:hAnsi="Times New Roman" w:cs="Times New Roman"/>
          <w:color w:val="000000"/>
          <w:sz w:val="24"/>
          <w:szCs w:val="24"/>
          <w:lang w:eastAsia="uk-UA" w:bidi="uk-UA"/>
        </w:rPr>
        <w:t xml:space="preserve">змінами внесеними у Кодекс адміністративного судочинства України з 15.12.2017 (відповідно до Закону України № </w:t>
      </w:r>
      <w:r w:rsidR="00DD7B6A" w:rsidRPr="00DD7B6A">
        <w:rPr>
          <w:rFonts w:ascii="Times New Roman" w:eastAsia="Times New Roman" w:hAnsi="Times New Roman" w:cs="Times New Roman"/>
          <w:color w:val="000000"/>
          <w:sz w:val="24"/>
          <w:szCs w:val="24"/>
          <w:lang w:eastAsia="uk-UA" w:bidi="uk-UA"/>
        </w:rPr>
        <w:t>2147-VIII</w:t>
      </w:r>
      <w:r w:rsidR="00746591">
        <w:rPr>
          <w:rFonts w:ascii="Times New Roman" w:eastAsia="Times New Roman" w:hAnsi="Times New Roman" w:cs="Times New Roman"/>
          <w:color w:val="000000"/>
          <w:sz w:val="24"/>
          <w:szCs w:val="24"/>
          <w:lang w:eastAsia="uk-UA" w:bidi="uk-UA"/>
        </w:rPr>
        <w:t xml:space="preserve"> </w:t>
      </w:r>
      <w:r w:rsidR="00DD7B6A">
        <w:rPr>
          <w:rFonts w:ascii="Times New Roman" w:eastAsia="Times New Roman" w:hAnsi="Times New Roman" w:cs="Times New Roman"/>
          <w:color w:val="000000"/>
          <w:sz w:val="24"/>
          <w:szCs w:val="24"/>
          <w:lang w:eastAsia="uk-UA" w:bidi="uk-UA"/>
        </w:rPr>
        <w:t>від 03.10.2017), яким розширено підсудність справ, що відносяться до розгляду окружних адміністративних судів. Збільшення кількості матеріалів пояснюється надходженням від органів Пенсійного фонду заяв в порядку в</w:t>
      </w:r>
      <w:r w:rsidR="0088685E">
        <w:rPr>
          <w:rFonts w:ascii="Times New Roman" w:eastAsia="Times New Roman" w:hAnsi="Times New Roman" w:cs="Times New Roman"/>
          <w:color w:val="000000"/>
          <w:sz w:val="24"/>
          <w:szCs w:val="24"/>
          <w:lang w:eastAsia="uk-UA" w:bidi="uk-UA"/>
        </w:rPr>
        <w:t xml:space="preserve">иконання рішення суду. Зокрема, відповідно до </w:t>
      </w:r>
      <w:r w:rsidR="0088685E" w:rsidRPr="0088685E">
        <w:rPr>
          <w:rFonts w:ascii="Times New Roman" w:eastAsia="Times New Roman" w:hAnsi="Times New Roman" w:cs="Times New Roman"/>
          <w:color w:val="000000"/>
          <w:sz w:val="24"/>
          <w:szCs w:val="24"/>
          <w:lang w:eastAsia="uk-UA" w:bidi="uk-UA"/>
        </w:rPr>
        <w:t xml:space="preserve"> постанови Кабінету Міністрів України від 08.11.2017 року № 821 «Деякі питання функціонування органів Пенсійного фонду України»</w:t>
      </w:r>
      <w:r w:rsidR="0088685E">
        <w:rPr>
          <w:rFonts w:ascii="Times New Roman" w:eastAsia="Times New Roman" w:hAnsi="Times New Roman" w:cs="Times New Roman"/>
          <w:color w:val="000000"/>
          <w:sz w:val="24"/>
          <w:szCs w:val="24"/>
          <w:lang w:eastAsia="uk-UA" w:bidi="uk-UA"/>
        </w:rPr>
        <w:t xml:space="preserve"> відбулась реорганізація органів Пенсійного фонду та усі повноваження від об’єднаних районних управлінь перейшли до Головного управління Пенсійного фонду у Львівській області. Зазначене в свою чергу потягнуло необхідність у заміні сторони виконавчого провадження щодо виконання виконавчих листів попередньо виданих Львівським окружним адміністративним судом.  </w:t>
      </w:r>
    </w:p>
    <w:p w:rsidR="00207F89" w:rsidRDefault="00730446"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Слід зауважити, що зі</w:t>
      </w:r>
      <w:r w:rsidR="002443E1">
        <w:rPr>
          <w:rFonts w:ascii="Times New Roman" w:eastAsia="Times New Roman" w:hAnsi="Times New Roman" w:cs="Times New Roman"/>
          <w:color w:val="000000"/>
          <w:sz w:val="24"/>
          <w:szCs w:val="24"/>
          <w:lang w:eastAsia="uk-UA" w:bidi="uk-UA"/>
        </w:rPr>
        <w:t xml:space="preserve"> зазначеної кількості надходж</w:t>
      </w:r>
      <w:r w:rsidR="001D308A">
        <w:rPr>
          <w:rFonts w:ascii="Times New Roman" w:eastAsia="Times New Roman" w:hAnsi="Times New Roman" w:cs="Times New Roman"/>
          <w:color w:val="000000"/>
          <w:sz w:val="24"/>
          <w:szCs w:val="24"/>
          <w:lang w:eastAsia="uk-UA" w:bidi="uk-UA"/>
        </w:rPr>
        <w:t xml:space="preserve">ення </w:t>
      </w:r>
      <w:r w:rsidR="0088685E">
        <w:rPr>
          <w:rFonts w:ascii="Times New Roman" w:eastAsia="Times New Roman" w:hAnsi="Times New Roman" w:cs="Times New Roman"/>
          <w:color w:val="000000"/>
          <w:sz w:val="24"/>
          <w:szCs w:val="24"/>
          <w:lang w:eastAsia="uk-UA" w:bidi="uk-UA"/>
        </w:rPr>
        <w:t xml:space="preserve">– 11940, </w:t>
      </w:r>
      <w:r w:rsidR="00746591">
        <w:rPr>
          <w:rFonts w:ascii="Times New Roman" w:eastAsia="Times New Roman" w:hAnsi="Times New Roman" w:cs="Times New Roman"/>
          <w:color w:val="000000"/>
          <w:sz w:val="24"/>
          <w:szCs w:val="24"/>
          <w:lang w:eastAsia="uk-UA" w:bidi="uk-UA"/>
        </w:rPr>
        <w:t>переважають матеріали</w:t>
      </w:r>
      <w:r w:rsidR="0088685E">
        <w:rPr>
          <w:rFonts w:ascii="Times New Roman" w:eastAsia="Times New Roman" w:hAnsi="Times New Roman" w:cs="Times New Roman"/>
          <w:color w:val="000000"/>
          <w:sz w:val="24"/>
          <w:szCs w:val="24"/>
          <w:lang w:eastAsia="uk-UA" w:bidi="uk-UA"/>
        </w:rPr>
        <w:t xml:space="preserve"> та становлять 7410 одиниць або 62%, </w:t>
      </w:r>
      <w:r w:rsidR="00746591">
        <w:rPr>
          <w:rFonts w:ascii="Times New Roman" w:eastAsia="Times New Roman" w:hAnsi="Times New Roman" w:cs="Times New Roman"/>
          <w:color w:val="000000"/>
          <w:sz w:val="24"/>
          <w:szCs w:val="24"/>
          <w:lang w:eastAsia="uk-UA" w:bidi="uk-UA"/>
        </w:rPr>
        <w:t xml:space="preserve"> </w:t>
      </w:r>
      <w:r w:rsidR="001D308A">
        <w:rPr>
          <w:rFonts w:ascii="Times New Roman" w:eastAsia="Times New Roman" w:hAnsi="Times New Roman" w:cs="Times New Roman"/>
          <w:color w:val="000000"/>
          <w:sz w:val="24"/>
          <w:szCs w:val="24"/>
          <w:lang w:eastAsia="uk-UA" w:bidi="uk-UA"/>
        </w:rPr>
        <w:t>справи</w:t>
      </w:r>
      <w:r w:rsidR="0088685E">
        <w:rPr>
          <w:rFonts w:ascii="Times New Roman" w:eastAsia="Times New Roman" w:hAnsi="Times New Roman" w:cs="Times New Roman"/>
          <w:color w:val="000000"/>
          <w:sz w:val="24"/>
          <w:szCs w:val="24"/>
          <w:lang w:eastAsia="uk-UA" w:bidi="uk-UA"/>
        </w:rPr>
        <w:t xml:space="preserve"> ж становлять </w:t>
      </w:r>
      <w:r w:rsidR="00723740">
        <w:rPr>
          <w:rFonts w:ascii="Times New Roman" w:eastAsia="Times New Roman" w:hAnsi="Times New Roman" w:cs="Times New Roman"/>
          <w:color w:val="000000"/>
          <w:sz w:val="24"/>
          <w:szCs w:val="24"/>
          <w:lang w:eastAsia="uk-UA" w:bidi="uk-UA"/>
        </w:rPr>
        <w:t>4530</w:t>
      </w:r>
      <w:r w:rsidR="0088685E">
        <w:rPr>
          <w:rFonts w:ascii="Times New Roman" w:eastAsia="Times New Roman" w:hAnsi="Times New Roman" w:cs="Times New Roman"/>
          <w:color w:val="000000"/>
          <w:sz w:val="24"/>
          <w:szCs w:val="24"/>
          <w:lang w:eastAsia="uk-UA" w:bidi="uk-UA"/>
        </w:rPr>
        <w:t xml:space="preserve"> одиниць або 38%</w:t>
      </w:r>
      <w:r w:rsidR="002443E1">
        <w:rPr>
          <w:rFonts w:ascii="Times New Roman" w:eastAsia="Times New Roman" w:hAnsi="Times New Roman" w:cs="Times New Roman"/>
          <w:color w:val="000000"/>
          <w:sz w:val="24"/>
          <w:szCs w:val="24"/>
          <w:lang w:eastAsia="uk-UA" w:bidi="uk-UA"/>
        </w:rPr>
        <w:t>.</w:t>
      </w:r>
    </w:p>
    <w:p w:rsidR="005D3B40" w:rsidRDefault="005D3B4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5D3B40">
        <w:rPr>
          <w:rFonts w:ascii="Times New Roman" w:eastAsia="Times New Roman" w:hAnsi="Times New Roman" w:cs="Times New Roman"/>
          <w:color w:val="000000"/>
          <w:sz w:val="24"/>
          <w:szCs w:val="24"/>
          <w:lang w:eastAsia="uk-UA" w:bidi="uk-UA"/>
        </w:rPr>
        <w:t>Загальні показ</w:t>
      </w:r>
      <w:r>
        <w:rPr>
          <w:rFonts w:ascii="Times New Roman" w:eastAsia="Times New Roman" w:hAnsi="Times New Roman" w:cs="Times New Roman"/>
          <w:color w:val="000000"/>
          <w:sz w:val="24"/>
          <w:szCs w:val="24"/>
          <w:lang w:eastAsia="uk-UA" w:bidi="uk-UA"/>
        </w:rPr>
        <w:t xml:space="preserve">ники надходження матеріалів у 2017 </w:t>
      </w:r>
      <w:r w:rsidRPr="005D3B40">
        <w:rPr>
          <w:rFonts w:ascii="Times New Roman" w:eastAsia="Times New Roman" w:hAnsi="Times New Roman" w:cs="Times New Roman"/>
          <w:color w:val="000000"/>
          <w:sz w:val="24"/>
          <w:szCs w:val="24"/>
          <w:lang w:eastAsia="uk-UA" w:bidi="uk-UA"/>
        </w:rPr>
        <w:t>та 2018 роках виглядають наступним чином.</w:t>
      </w:r>
    </w:p>
    <w:p w:rsidR="00142E30" w:rsidRDefault="00142E3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tbl>
      <w:tblPr>
        <w:tblStyle w:val="a8"/>
        <w:tblW w:w="0" w:type="auto"/>
        <w:tblInd w:w="817" w:type="dxa"/>
        <w:tblLook w:val="04A0" w:firstRow="1" w:lastRow="0" w:firstColumn="1" w:lastColumn="0" w:noHBand="0" w:noVBand="1"/>
      </w:tblPr>
      <w:tblGrid>
        <w:gridCol w:w="4961"/>
        <w:gridCol w:w="1418"/>
        <w:gridCol w:w="1417"/>
        <w:gridCol w:w="1417"/>
      </w:tblGrid>
      <w:tr w:rsidR="005D3B40" w:rsidRPr="006650DE" w:rsidTr="00CD6E9C">
        <w:tc>
          <w:tcPr>
            <w:tcW w:w="4961" w:type="dxa"/>
          </w:tcPr>
          <w:p w:rsidR="005D3B40" w:rsidRPr="006650DE" w:rsidRDefault="00142E30" w:rsidP="00CD6E9C">
            <w:pPr>
              <w:widowControl w:val="0"/>
              <w:spacing w:line="0" w:lineRule="atLeast"/>
              <w:jc w:val="center"/>
              <w:rPr>
                <w:rFonts w:ascii="Times New Roman" w:eastAsia="Times New Roman" w:hAnsi="Times New Roman" w:cs="Times New Roman"/>
                <w:b/>
                <w:sz w:val="24"/>
                <w:szCs w:val="24"/>
                <w:lang w:bidi="uk-UA"/>
              </w:rPr>
            </w:pPr>
            <w:r>
              <w:rPr>
                <w:rFonts w:ascii="Times New Roman" w:eastAsia="Times New Roman" w:hAnsi="Times New Roman" w:cs="Times New Roman"/>
                <w:b/>
                <w:sz w:val="24"/>
                <w:szCs w:val="24"/>
                <w:lang w:bidi="uk-UA"/>
              </w:rPr>
              <w:t>Назва показника</w:t>
            </w:r>
          </w:p>
        </w:tc>
        <w:tc>
          <w:tcPr>
            <w:tcW w:w="1418" w:type="dxa"/>
          </w:tcPr>
          <w:p w:rsidR="005D3B40" w:rsidRPr="006650DE" w:rsidRDefault="005D3B40" w:rsidP="00CD6E9C">
            <w:pPr>
              <w:widowControl w:val="0"/>
              <w:spacing w:line="0" w:lineRule="atLeast"/>
              <w:jc w:val="center"/>
              <w:rPr>
                <w:rFonts w:ascii="Times New Roman" w:eastAsia="Times New Roman" w:hAnsi="Times New Roman" w:cs="Times New Roman"/>
                <w:b/>
                <w:sz w:val="24"/>
                <w:szCs w:val="24"/>
                <w:lang w:bidi="uk-UA"/>
              </w:rPr>
            </w:pPr>
            <w:r w:rsidRPr="006650DE">
              <w:rPr>
                <w:rFonts w:ascii="Times New Roman" w:eastAsia="Times New Roman" w:hAnsi="Times New Roman" w:cs="Times New Roman"/>
                <w:b/>
                <w:sz w:val="24"/>
                <w:szCs w:val="24"/>
                <w:lang w:bidi="uk-UA"/>
              </w:rPr>
              <w:t>2017 рік</w:t>
            </w:r>
          </w:p>
        </w:tc>
        <w:tc>
          <w:tcPr>
            <w:tcW w:w="1417" w:type="dxa"/>
          </w:tcPr>
          <w:p w:rsidR="005D3B40" w:rsidRPr="006650DE" w:rsidRDefault="005D3B40" w:rsidP="00CD6E9C">
            <w:pPr>
              <w:widowControl w:val="0"/>
              <w:spacing w:line="0" w:lineRule="atLeast"/>
              <w:jc w:val="center"/>
              <w:rPr>
                <w:rFonts w:ascii="Times New Roman" w:eastAsia="Times New Roman" w:hAnsi="Times New Roman" w:cs="Times New Roman"/>
                <w:b/>
                <w:sz w:val="24"/>
                <w:szCs w:val="24"/>
                <w:lang w:bidi="uk-UA"/>
              </w:rPr>
            </w:pPr>
            <w:r w:rsidRPr="006650DE">
              <w:rPr>
                <w:rFonts w:ascii="Times New Roman" w:eastAsia="Times New Roman" w:hAnsi="Times New Roman" w:cs="Times New Roman"/>
                <w:b/>
                <w:sz w:val="24"/>
                <w:szCs w:val="24"/>
                <w:lang w:bidi="uk-UA"/>
              </w:rPr>
              <w:t>2018 рік</w:t>
            </w:r>
          </w:p>
        </w:tc>
        <w:tc>
          <w:tcPr>
            <w:tcW w:w="1417" w:type="dxa"/>
          </w:tcPr>
          <w:p w:rsidR="005D3B40" w:rsidRPr="006650DE" w:rsidRDefault="005D3B40" w:rsidP="00CD6E9C">
            <w:pPr>
              <w:widowControl w:val="0"/>
              <w:spacing w:line="0" w:lineRule="atLeast"/>
              <w:jc w:val="center"/>
              <w:rPr>
                <w:rFonts w:ascii="Times New Roman" w:eastAsia="Times New Roman" w:hAnsi="Times New Roman" w:cs="Times New Roman"/>
                <w:b/>
                <w:sz w:val="24"/>
                <w:szCs w:val="24"/>
                <w:lang w:bidi="uk-UA"/>
              </w:rPr>
            </w:pPr>
            <w:r>
              <w:rPr>
                <w:rFonts w:ascii="Times New Roman" w:eastAsia="Times New Roman" w:hAnsi="Times New Roman" w:cs="Times New Roman"/>
                <w:b/>
                <w:sz w:val="24"/>
                <w:szCs w:val="24"/>
                <w:lang w:bidi="uk-UA"/>
              </w:rPr>
              <w:t>динаміка</w:t>
            </w:r>
          </w:p>
        </w:tc>
      </w:tr>
      <w:tr w:rsidR="005D3B40" w:rsidTr="00CD6E9C">
        <w:tc>
          <w:tcPr>
            <w:tcW w:w="4961" w:type="dxa"/>
          </w:tcPr>
          <w:p w:rsidR="005D3B40" w:rsidRDefault="005D3B40"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Позовні</w:t>
            </w:r>
            <w:r w:rsidRPr="006650DE">
              <w:rPr>
                <w:rFonts w:ascii="Times New Roman" w:eastAsia="Times New Roman" w:hAnsi="Times New Roman" w:cs="Times New Roman"/>
                <w:sz w:val="24"/>
                <w:szCs w:val="24"/>
                <w:lang w:bidi="uk-UA"/>
              </w:rPr>
              <w:t xml:space="preserve"> </w:t>
            </w:r>
            <w:r>
              <w:rPr>
                <w:rFonts w:ascii="Times New Roman" w:eastAsia="Times New Roman" w:hAnsi="Times New Roman" w:cs="Times New Roman"/>
                <w:sz w:val="24"/>
                <w:szCs w:val="24"/>
                <w:lang w:bidi="uk-UA"/>
              </w:rPr>
              <w:t>заяви</w:t>
            </w:r>
            <w:r w:rsidRPr="006650DE">
              <w:rPr>
                <w:rFonts w:ascii="Times New Roman" w:eastAsia="Times New Roman" w:hAnsi="Times New Roman" w:cs="Times New Roman"/>
                <w:sz w:val="24"/>
                <w:szCs w:val="24"/>
                <w:lang w:bidi="uk-UA"/>
              </w:rPr>
              <w:t>, п</w:t>
            </w:r>
            <w:r>
              <w:rPr>
                <w:rFonts w:ascii="Times New Roman" w:eastAsia="Times New Roman" w:hAnsi="Times New Roman" w:cs="Times New Roman"/>
                <w:sz w:val="24"/>
                <w:szCs w:val="24"/>
                <w:lang w:bidi="uk-UA"/>
              </w:rPr>
              <w:t xml:space="preserve">одання </w:t>
            </w:r>
          </w:p>
        </w:tc>
        <w:tc>
          <w:tcPr>
            <w:tcW w:w="1418"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5104</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6539</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+ 1435</w:t>
            </w:r>
          </w:p>
        </w:tc>
      </w:tr>
      <w:tr w:rsidR="005D3B40" w:rsidTr="00CD6E9C">
        <w:tc>
          <w:tcPr>
            <w:tcW w:w="4961" w:type="dxa"/>
          </w:tcPr>
          <w:p w:rsidR="005D3B40" w:rsidRDefault="005D3B40"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Доручення інших судів</w:t>
            </w:r>
          </w:p>
        </w:tc>
        <w:tc>
          <w:tcPr>
            <w:tcW w:w="1418"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3</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3</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без змін</w:t>
            </w:r>
          </w:p>
        </w:tc>
      </w:tr>
      <w:tr w:rsidR="005D3B40" w:rsidTr="00CD6E9C">
        <w:tc>
          <w:tcPr>
            <w:tcW w:w="4961" w:type="dxa"/>
          </w:tcPr>
          <w:p w:rsidR="005D3B40" w:rsidRDefault="005D3B40"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Справи в порядку виконання судових рішень</w:t>
            </w:r>
          </w:p>
        </w:tc>
        <w:tc>
          <w:tcPr>
            <w:tcW w:w="1418"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2053</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5038</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+ 2985</w:t>
            </w:r>
          </w:p>
        </w:tc>
      </w:tr>
      <w:tr w:rsidR="005D3B40" w:rsidTr="00CD6E9C">
        <w:tc>
          <w:tcPr>
            <w:tcW w:w="4961" w:type="dxa"/>
          </w:tcPr>
          <w:p w:rsidR="005D3B40" w:rsidRDefault="005D3B40" w:rsidP="00CD6E9C">
            <w:pPr>
              <w:widowControl w:val="0"/>
              <w:spacing w:line="0" w:lineRule="atLeast"/>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xml:space="preserve">Справи про перегляд судового рішення за </w:t>
            </w:r>
            <w:proofErr w:type="spellStart"/>
            <w:r>
              <w:rPr>
                <w:rFonts w:ascii="Times New Roman" w:eastAsia="Times New Roman" w:hAnsi="Times New Roman" w:cs="Times New Roman"/>
                <w:sz w:val="24"/>
                <w:szCs w:val="24"/>
                <w:lang w:bidi="uk-UA"/>
              </w:rPr>
              <w:t>нововвиявленими</w:t>
            </w:r>
            <w:proofErr w:type="spellEnd"/>
            <w:r>
              <w:rPr>
                <w:rFonts w:ascii="Times New Roman" w:eastAsia="Times New Roman" w:hAnsi="Times New Roman" w:cs="Times New Roman"/>
                <w:sz w:val="24"/>
                <w:szCs w:val="24"/>
                <w:lang w:bidi="uk-UA"/>
              </w:rPr>
              <w:t xml:space="preserve"> або виключними обставинами</w:t>
            </w:r>
          </w:p>
        </w:tc>
        <w:tc>
          <w:tcPr>
            <w:tcW w:w="1418"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27</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23</w:t>
            </w:r>
          </w:p>
        </w:tc>
        <w:tc>
          <w:tcPr>
            <w:tcW w:w="1417" w:type="dxa"/>
          </w:tcPr>
          <w:p w:rsidR="005D3B40" w:rsidRDefault="005D3B40"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- 4</w:t>
            </w:r>
          </w:p>
        </w:tc>
      </w:tr>
    </w:tbl>
    <w:p w:rsidR="005D3B40" w:rsidRDefault="005D3B4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5D3B40" w:rsidRDefault="005D3B4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Не можливо провести динаміку надходження заяв про забезпечення доказів/позову, зміни або скасування заходів забезпечення доказів/позову, оскільки статистична звітність за 2018 рік не передбачає окремого обліку по даному виду заяв.</w:t>
      </w:r>
      <w:r w:rsidR="00142E30">
        <w:rPr>
          <w:rFonts w:ascii="Times New Roman" w:eastAsia="Times New Roman" w:hAnsi="Times New Roman" w:cs="Times New Roman"/>
          <w:color w:val="000000"/>
          <w:sz w:val="24"/>
          <w:szCs w:val="24"/>
          <w:lang w:eastAsia="uk-UA" w:bidi="uk-UA"/>
        </w:rPr>
        <w:t xml:space="preserve"> У 2017 році їх надходження становило 179 заяв.</w:t>
      </w:r>
    </w:p>
    <w:p w:rsidR="00142E30" w:rsidRDefault="00142E3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Порівняння на</w:t>
      </w:r>
      <w:r w:rsidR="00003119">
        <w:rPr>
          <w:rFonts w:ascii="Times New Roman" w:eastAsia="Times New Roman" w:hAnsi="Times New Roman" w:cs="Times New Roman"/>
          <w:color w:val="000000"/>
          <w:sz w:val="24"/>
          <w:szCs w:val="24"/>
          <w:lang w:eastAsia="uk-UA" w:bidi="uk-UA"/>
        </w:rPr>
        <w:t>слідків</w:t>
      </w:r>
      <w:r>
        <w:rPr>
          <w:rFonts w:ascii="Times New Roman" w:eastAsia="Times New Roman" w:hAnsi="Times New Roman" w:cs="Times New Roman"/>
          <w:color w:val="000000"/>
          <w:sz w:val="24"/>
          <w:szCs w:val="24"/>
          <w:lang w:eastAsia="uk-UA" w:bidi="uk-UA"/>
        </w:rPr>
        <w:t xml:space="preserve"> розгляду позовних заяв на стадії </w:t>
      </w:r>
      <w:r w:rsidR="00237DCF">
        <w:rPr>
          <w:rFonts w:ascii="Times New Roman" w:eastAsia="Times New Roman" w:hAnsi="Times New Roman" w:cs="Times New Roman"/>
          <w:color w:val="000000"/>
          <w:sz w:val="24"/>
          <w:szCs w:val="24"/>
          <w:lang w:eastAsia="uk-UA" w:bidi="uk-UA"/>
        </w:rPr>
        <w:t>відкриття провадження</w:t>
      </w:r>
      <w:r>
        <w:rPr>
          <w:rFonts w:ascii="Times New Roman" w:eastAsia="Times New Roman" w:hAnsi="Times New Roman" w:cs="Times New Roman"/>
          <w:color w:val="000000"/>
          <w:sz w:val="24"/>
          <w:szCs w:val="24"/>
          <w:lang w:eastAsia="uk-UA" w:bidi="uk-UA"/>
        </w:rPr>
        <w:t xml:space="preserve"> </w:t>
      </w:r>
      <w:r w:rsidR="00003119">
        <w:rPr>
          <w:rFonts w:ascii="Times New Roman" w:eastAsia="Times New Roman" w:hAnsi="Times New Roman" w:cs="Times New Roman"/>
          <w:color w:val="000000"/>
          <w:sz w:val="24"/>
          <w:szCs w:val="24"/>
          <w:lang w:eastAsia="uk-UA" w:bidi="uk-UA"/>
        </w:rPr>
        <w:t>в</w:t>
      </w:r>
      <w:r>
        <w:rPr>
          <w:rFonts w:ascii="Times New Roman" w:eastAsia="Times New Roman" w:hAnsi="Times New Roman" w:cs="Times New Roman"/>
          <w:color w:val="000000"/>
          <w:sz w:val="24"/>
          <w:szCs w:val="24"/>
          <w:lang w:eastAsia="uk-UA" w:bidi="uk-UA"/>
        </w:rPr>
        <w:t xml:space="preserve"> 2017 та 2018 роках наведені у наступній таблиці.</w:t>
      </w:r>
    </w:p>
    <w:p w:rsidR="00142E30" w:rsidRDefault="00142E3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tbl>
      <w:tblPr>
        <w:tblStyle w:val="a8"/>
        <w:tblW w:w="0" w:type="auto"/>
        <w:tblInd w:w="817" w:type="dxa"/>
        <w:tblLook w:val="04A0" w:firstRow="1" w:lastRow="0" w:firstColumn="1" w:lastColumn="0" w:noHBand="0" w:noVBand="1"/>
      </w:tblPr>
      <w:tblGrid>
        <w:gridCol w:w="4961"/>
        <w:gridCol w:w="1418"/>
        <w:gridCol w:w="1417"/>
        <w:gridCol w:w="1417"/>
      </w:tblGrid>
      <w:tr w:rsidR="00142E30" w:rsidRPr="006650DE" w:rsidTr="00CD6E9C">
        <w:tc>
          <w:tcPr>
            <w:tcW w:w="4961" w:type="dxa"/>
          </w:tcPr>
          <w:p w:rsidR="00142E30" w:rsidRPr="006650DE" w:rsidRDefault="00142E30" w:rsidP="00CD6E9C">
            <w:pPr>
              <w:widowControl w:val="0"/>
              <w:spacing w:line="0" w:lineRule="atLeast"/>
              <w:jc w:val="center"/>
              <w:rPr>
                <w:rFonts w:ascii="Times New Roman" w:eastAsia="Times New Roman" w:hAnsi="Times New Roman" w:cs="Times New Roman"/>
                <w:b/>
                <w:sz w:val="24"/>
                <w:szCs w:val="24"/>
                <w:lang w:bidi="uk-UA"/>
              </w:rPr>
            </w:pPr>
            <w:r>
              <w:rPr>
                <w:rFonts w:ascii="Times New Roman" w:eastAsia="Times New Roman" w:hAnsi="Times New Roman" w:cs="Times New Roman"/>
                <w:b/>
                <w:sz w:val="24"/>
                <w:szCs w:val="24"/>
                <w:lang w:bidi="uk-UA"/>
              </w:rPr>
              <w:t>Назва показника</w:t>
            </w:r>
          </w:p>
        </w:tc>
        <w:tc>
          <w:tcPr>
            <w:tcW w:w="1418" w:type="dxa"/>
          </w:tcPr>
          <w:p w:rsidR="00142E30" w:rsidRPr="006650DE" w:rsidRDefault="00142E30" w:rsidP="00CD6E9C">
            <w:pPr>
              <w:widowControl w:val="0"/>
              <w:spacing w:line="0" w:lineRule="atLeast"/>
              <w:jc w:val="center"/>
              <w:rPr>
                <w:rFonts w:ascii="Times New Roman" w:eastAsia="Times New Roman" w:hAnsi="Times New Roman" w:cs="Times New Roman"/>
                <w:b/>
                <w:sz w:val="24"/>
                <w:szCs w:val="24"/>
                <w:lang w:bidi="uk-UA"/>
              </w:rPr>
            </w:pPr>
            <w:r w:rsidRPr="006650DE">
              <w:rPr>
                <w:rFonts w:ascii="Times New Roman" w:eastAsia="Times New Roman" w:hAnsi="Times New Roman" w:cs="Times New Roman"/>
                <w:b/>
                <w:sz w:val="24"/>
                <w:szCs w:val="24"/>
                <w:lang w:bidi="uk-UA"/>
              </w:rPr>
              <w:t>2017 рік</w:t>
            </w:r>
          </w:p>
        </w:tc>
        <w:tc>
          <w:tcPr>
            <w:tcW w:w="1417" w:type="dxa"/>
          </w:tcPr>
          <w:p w:rsidR="00142E30" w:rsidRPr="006650DE" w:rsidRDefault="00142E30" w:rsidP="00CD6E9C">
            <w:pPr>
              <w:widowControl w:val="0"/>
              <w:spacing w:line="0" w:lineRule="atLeast"/>
              <w:jc w:val="center"/>
              <w:rPr>
                <w:rFonts w:ascii="Times New Roman" w:eastAsia="Times New Roman" w:hAnsi="Times New Roman" w:cs="Times New Roman"/>
                <w:b/>
                <w:sz w:val="24"/>
                <w:szCs w:val="24"/>
                <w:lang w:bidi="uk-UA"/>
              </w:rPr>
            </w:pPr>
            <w:r w:rsidRPr="006650DE">
              <w:rPr>
                <w:rFonts w:ascii="Times New Roman" w:eastAsia="Times New Roman" w:hAnsi="Times New Roman" w:cs="Times New Roman"/>
                <w:b/>
                <w:sz w:val="24"/>
                <w:szCs w:val="24"/>
                <w:lang w:bidi="uk-UA"/>
              </w:rPr>
              <w:t>2018 рік</w:t>
            </w:r>
          </w:p>
        </w:tc>
        <w:tc>
          <w:tcPr>
            <w:tcW w:w="1417" w:type="dxa"/>
          </w:tcPr>
          <w:p w:rsidR="00142E30" w:rsidRPr="006650DE" w:rsidRDefault="00142E30" w:rsidP="00CD6E9C">
            <w:pPr>
              <w:widowControl w:val="0"/>
              <w:spacing w:line="0" w:lineRule="atLeast"/>
              <w:jc w:val="center"/>
              <w:rPr>
                <w:rFonts w:ascii="Times New Roman" w:eastAsia="Times New Roman" w:hAnsi="Times New Roman" w:cs="Times New Roman"/>
                <w:b/>
                <w:sz w:val="24"/>
                <w:szCs w:val="24"/>
                <w:lang w:bidi="uk-UA"/>
              </w:rPr>
            </w:pPr>
            <w:r>
              <w:rPr>
                <w:rFonts w:ascii="Times New Roman" w:eastAsia="Times New Roman" w:hAnsi="Times New Roman" w:cs="Times New Roman"/>
                <w:b/>
                <w:sz w:val="24"/>
                <w:szCs w:val="24"/>
                <w:lang w:bidi="uk-UA"/>
              </w:rPr>
              <w:t>динаміка</w:t>
            </w:r>
          </w:p>
        </w:tc>
      </w:tr>
      <w:tr w:rsidR="00142E30" w:rsidTr="00CD6E9C">
        <w:tc>
          <w:tcPr>
            <w:tcW w:w="4961" w:type="dxa"/>
          </w:tcPr>
          <w:p w:rsidR="00142E30" w:rsidRDefault="00003119"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Перебувало на розгляді</w:t>
            </w:r>
          </w:p>
        </w:tc>
        <w:tc>
          <w:tcPr>
            <w:tcW w:w="1418"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5239</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6597</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+1358</w:t>
            </w:r>
          </w:p>
        </w:tc>
      </w:tr>
      <w:tr w:rsidR="00142E30" w:rsidTr="00CD6E9C">
        <w:tc>
          <w:tcPr>
            <w:tcW w:w="4961" w:type="dxa"/>
          </w:tcPr>
          <w:p w:rsidR="00142E30" w:rsidRDefault="00003119"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Надійшло у звітному періоді</w:t>
            </w:r>
          </w:p>
        </w:tc>
        <w:tc>
          <w:tcPr>
            <w:tcW w:w="1418"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5104</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6448</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+1344</w:t>
            </w:r>
          </w:p>
        </w:tc>
      </w:tr>
      <w:tr w:rsidR="00142E30" w:rsidTr="00CD6E9C">
        <w:tc>
          <w:tcPr>
            <w:tcW w:w="4961" w:type="dxa"/>
          </w:tcPr>
          <w:p w:rsidR="00142E30" w:rsidRDefault="00003119" w:rsidP="00CD6E9C">
            <w:pPr>
              <w:widowControl w:val="0"/>
              <w:spacing w:line="0" w:lineRule="atLeast"/>
              <w:jc w:val="both"/>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Розглянуто, із них:</w:t>
            </w:r>
          </w:p>
        </w:tc>
        <w:tc>
          <w:tcPr>
            <w:tcW w:w="1418"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5089</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6352</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+1263</w:t>
            </w:r>
          </w:p>
        </w:tc>
      </w:tr>
      <w:tr w:rsidR="00142E30" w:rsidTr="00CD6E9C">
        <w:tc>
          <w:tcPr>
            <w:tcW w:w="4961" w:type="dxa"/>
          </w:tcPr>
          <w:p w:rsidR="00142E30"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повернуто</w:t>
            </w:r>
          </w:p>
        </w:tc>
        <w:tc>
          <w:tcPr>
            <w:tcW w:w="1418"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750</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1958</w:t>
            </w:r>
          </w:p>
        </w:tc>
        <w:tc>
          <w:tcPr>
            <w:tcW w:w="1417" w:type="dxa"/>
          </w:tcPr>
          <w:p w:rsidR="00142E30"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+1208</w:t>
            </w:r>
          </w:p>
        </w:tc>
      </w:tr>
      <w:tr w:rsidR="00003119" w:rsidTr="00CD6E9C">
        <w:tc>
          <w:tcPr>
            <w:tcW w:w="4961" w:type="dxa"/>
          </w:tcPr>
          <w:p w:rsidR="00003119"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залишено без розгляду</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23</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-17</w:t>
            </w:r>
          </w:p>
        </w:tc>
      </w:tr>
      <w:tr w:rsidR="00003119" w:rsidTr="00CD6E9C">
        <w:tc>
          <w:tcPr>
            <w:tcW w:w="4961" w:type="dxa"/>
          </w:tcPr>
          <w:p w:rsidR="00003119"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відмовлено у відкритті провадження</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79</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76</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-3</w:t>
            </w:r>
          </w:p>
        </w:tc>
      </w:tr>
      <w:tr w:rsidR="00003119" w:rsidTr="00CD6E9C">
        <w:tc>
          <w:tcPr>
            <w:tcW w:w="4961" w:type="dxa"/>
          </w:tcPr>
          <w:p w:rsidR="00003119"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відкрито провадження, із них</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4237</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4265</w:t>
            </w:r>
          </w:p>
        </w:tc>
        <w:tc>
          <w:tcPr>
            <w:tcW w:w="1417" w:type="dxa"/>
          </w:tcPr>
          <w:p w:rsidR="00003119" w:rsidRDefault="002B53F5"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+28</w:t>
            </w:r>
          </w:p>
        </w:tc>
      </w:tr>
      <w:tr w:rsidR="00003119" w:rsidTr="00CD6E9C">
        <w:tc>
          <w:tcPr>
            <w:tcW w:w="4961" w:type="dxa"/>
          </w:tcPr>
          <w:p w:rsidR="00003119"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з порушенням строків</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72</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9</w:t>
            </w:r>
          </w:p>
        </w:tc>
        <w:tc>
          <w:tcPr>
            <w:tcW w:w="1417" w:type="dxa"/>
          </w:tcPr>
          <w:p w:rsidR="00003119" w:rsidRDefault="002B53F5"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-63</w:t>
            </w:r>
          </w:p>
        </w:tc>
      </w:tr>
      <w:tr w:rsidR="00003119" w:rsidTr="00CD6E9C">
        <w:tc>
          <w:tcPr>
            <w:tcW w:w="4961" w:type="dxa"/>
          </w:tcPr>
          <w:p w:rsidR="00003119" w:rsidRPr="00003119" w:rsidRDefault="00003119" w:rsidP="00003119">
            <w:pPr>
              <w:widowControl w:val="0"/>
              <w:spacing w:line="0" w:lineRule="atLeast"/>
              <w:rPr>
                <w:rFonts w:ascii="Times New Roman" w:eastAsia="Times New Roman" w:hAnsi="Times New Roman" w:cs="Times New Roman"/>
                <w:sz w:val="24"/>
                <w:szCs w:val="24"/>
                <w:lang w:bidi="uk-UA"/>
              </w:rPr>
            </w:pPr>
            <w:proofErr w:type="spellStart"/>
            <w:r>
              <w:rPr>
                <w:rFonts w:ascii="Times New Roman" w:eastAsia="Times New Roman" w:hAnsi="Times New Roman" w:cs="Times New Roman"/>
                <w:sz w:val="24"/>
                <w:szCs w:val="24"/>
                <w:lang w:bidi="uk-UA"/>
              </w:rPr>
              <w:t>Нерозглянуто</w:t>
            </w:r>
            <w:proofErr w:type="spellEnd"/>
            <w:r>
              <w:rPr>
                <w:rFonts w:ascii="Times New Roman" w:eastAsia="Times New Roman" w:hAnsi="Times New Roman" w:cs="Times New Roman"/>
                <w:sz w:val="24"/>
                <w:szCs w:val="24"/>
                <w:lang w:bidi="uk-UA"/>
              </w:rPr>
              <w:t>, із них</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150</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245</w:t>
            </w:r>
          </w:p>
        </w:tc>
        <w:tc>
          <w:tcPr>
            <w:tcW w:w="1417" w:type="dxa"/>
          </w:tcPr>
          <w:p w:rsidR="00003119" w:rsidRDefault="002B53F5"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+95</w:t>
            </w:r>
          </w:p>
        </w:tc>
      </w:tr>
      <w:tr w:rsidR="00003119" w:rsidTr="00CD6E9C">
        <w:tc>
          <w:tcPr>
            <w:tcW w:w="4961" w:type="dxa"/>
          </w:tcPr>
          <w:p w:rsidR="00003119" w:rsidRPr="00003119" w:rsidRDefault="00003119" w:rsidP="00003119">
            <w:pPr>
              <w:pStyle w:val="a9"/>
              <w:widowControl w:val="0"/>
              <w:numPr>
                <w:ilvl w:val="0"/>
                <w:numId w:val="12"/>
              </w:numPr>
              <w:spacing w:line="0" w:lineRule="atLeast"/>
              <w:rPr>
                <w:rFonts w:ascii="Times New Roman" w:eastAsia="Times New Roman" w:hAnsi="Times New Roman" w:cs="Times New Roman"/>
                <w:i/>
                <w:sz w:val="24"/>
                <w:szCs w:val="24"/>
                <w:lang w:bidi="uk-UA"/>
              </w:rPr>
            </w:pPr>
            <w:r w:rsidRPr="00003119">
              <w:rPr>
                <w:rFonts w:ascii="Times New Roman" w:eastAsia="Times New Roman" w:hAnsi="Times New Roman" w:cs="Times New Roman"/>
                <w:i/>
                <w:sz w:val="24"/>
                <w:szCs w:val="24"/>
                <w:lang w:bidi="uk-UA"/>
              </w:rPr>
              <w:t>залишено без руху</w:t>
            </w:r>
          </w:p>
        </w:tc>
        <w:tc>
          <w:tcPr>
            <w:tcW w:w="1418"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101</w:t>
            </w:r>
          </w:p>
        </w:tc>
        <w:tc>
          <w:tcPr>
            <w:tcW w:w="1417" w:type="dxa"/>
          </w:tcPr>
          <w:p w:rsidR="00003119" w:rsidRDefault="00003119"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162</w:t>
            </w:r>
          </w:p>
        </w:tc>
        <w:tc>
          <w:tcPr>
            <w:tcW w:w="1417" w:type="dxa"/>
          </w:tcPr>
          <w:p w:rsidR="00003119" w:rsidRDefault="002B53F5" w:rsidP="00CD6E9C">
            <w:pPr>
              <w:widowControl w:val="0"/>
              <w:spacing w:line="0" w:lineRule="atLeast"/>
              <w:jc w:val="center"/>
              <w:rPr>
                <w:rFonts w:ascii="Times New Roman" w:eastAsia="Times New Roman" w:hAnsi="Times New Roman" w:cs="Times New Roman"/>
                <w:sz w:val="24"/>
                <w:szCs w:val="24"/>
                <w:lang w:bidi="uk-UA"/>
              </w:rPr>
            </w:pPr>
            <w:r>
              <w:rPr>
                <w:rFonts w:ascii="Times New Roman" w:eastAsia="Times New Roman" w:hAnsi="Times New Roman" w:cs="Times New Roman"/>
                <w:sz w:val="24"/>
                <w:szCs w:val="24"/>
                <w:lang w:bidi="uk-UA"/>
              </w:rPr>
              <w:t>+61</w:t>
            </w:r>
          </w:p>
        </w:tc>
      </w:tr>
    </w:tbl>
    <w:p w:rsidR="00142E30" w:rsidRDefault="00142E30"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BA1998" w:rsidRDefault="002B53F5"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t xml:space="preserve">Серед позитивних моментів слід відмітити те, що значно зменшилась кількість позовних заяв, провадження у яких відкрито із порушенням строків передбачених ст. 171 Кодексу адміністративного судочинства України. </w:t>
      </w:r>
    </w:p>
    <w:p w:rsidR="005D3B40" w:rsidRDefault="00BA1998" w:rsidP="00BA1998">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Не сильно змінився показник розгляду позовних заяв, так як у 2017 році було розглянуто 97% (5089 проти 5239), а у 2018 році 96% (6352 проти 6597).</w:t>
      </w:r>
      <w:r w:rsidR="002B53F5">
        <w:rPr>
          <w:rFonts w:ascii="Times New Roman" w:eastAsia="Times New Roman" w:hAnsi="Times New Roman" w:cs="Times New Roman"/>
          <w:color w:val="000000"/>
          <w:sz w:val="24"/>
          <w:szCs w:val="24"/>
          <w:lang w:eastAsia="uk-UA" w:bidi="uk-UA"/>
        </w:rPr>
        <w:t xml:space="preserve"> </w:t>
      </w:r>
    </w:p>
    <w:p w:rsidR="00D60B2F" w:rsidRDefault="00D60B2F"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Д</w:t>
      </w:r>
      <w:r w:rsidR="00ED5FEA">
        <w:rPr>
          <w:rFonts w:ascii="Times New Roman" w:eastAsia="Times New Roman" w:hAnsi="Times New Roman" w:cs="Times New Roman"/>
          <w:sz w:val="24"/>
          <w:szCs w:val="24"/>
          <w:lang w:eastAsia="uk-UA" w:bidi="uk-UA"/>
        </w:rPr>
        <w:t>инаміка надходження справ</w:t>
      </w:r>
      <w:r w:rsidR="001D3278">
        <w:rPr>
          <w:rFonts w:ascii="Times New Roman" w:eastAsia="Times New Roman" w:hAnsi="Times New Roman" w:cs="Times New Roman"/>
          <w:sz w:val="24"/>
          <w:szCs w:val="24"/>
          <w:lang w:eastAsia="uk-UA" w:bidi="uk-UA"/>
        </w:rPr>
        <w:t xml:space="preserve"> і матеріалів по місяцях</w:t>
      </w:r>
      <w:r w:rsidR="00ED5FEA">
        <w:rPr>
          <w:rFonts w:ascii="Times New Roman" w:eastAsia="Times New Roman" w:hAnsi="Times New Roman" w:cs="Times New Roman"/>
          <w:sz w:val="24"/>
          <w:szCs w:val="24"/>
          <w:lang w:eastAsia="uk-UA" w:bidi="uk-UA"/>
        </w:rPr>
        <w:t xml:space="preserve"> у </w:t>
      </w:r>
      <w:r w:rsidR="0055424F">
        <w:rPr>
          <w:rFonts w:ascii="Times New Roman" w:eastAsia="Times New Roman" w:hAnsi="Times New Roman" w:cs="Times New Roman"/>
          <w:sz w:val="24"/>
          <w:szCs w:val="24"/>
          <w:lang w:eastAsia="uk-UA" w:bidi="uk-UA"/>
        </w:rPr>
        <w:t xml:space="preserve">2017 та </w:t>
      </w:r>
      <w:r w:rsidR="00ED5FEA">
        <w:rPr>
          <w:rFonts w:ascii="Times New Roman" w:eastAsia="Times New Roman" w:hAnsi="Times New Roman" w:cs="Times New Roman"/>
          <w:sz w:val="24"/>
          <w:szCs w:val="24"/>
          <w:lang w:eastAsia="uk-UA" w:bidi="uk-UA"/>
        </w:rPr>
        <w:t>2018</w:t>
      </w:r>
      <w:r w:rsidR="00A55FC9">
        <w:rPr>
          <w:rFonts w:ascii="Times New Roman" w:eastAsia="Times New Roman" w:hAnsi="Times New Roman" w:cs="Times New Roman"/>
          <w:sz w:val="24"/>
          <w:szCs w:val="24"/>
          <w:lang w:eastAsia="uk-UA" w:bidi="uk-UA"/>
        </w:rPr>
        <w:t xml:space="preserve"> роках</w:t>
      </w:r>
      <w:r>
        <w:rPr>
          <w:rFonts w:ascii="Times New Roman" w:eastAsia="Times New Roman" w:hAnsi="Times New Roman" w:cs="Times New Roman"/>
          <w:sz w:val="24"/>
          <w:szCs w:val="24"/>
          <w:lang w:eastAsia="uk-UA" w:bidi="uk-UA"/>
        </w:rPr>
        <w:t xml:space="preserve"> </w:t>
      </w:r>
      <w:r w:rsidR="00ED5FEA">
        <w:rPr>
          <w:rFonts w:ascii="Times New Roman" w:eastAsia="Times New Roman" w:hAnsi="Times New Roman" w:cs="Times New Roman"/>
          <w:sz w:val="24"/>
          <w:szCs w:val="24"/>
          <w:lang w:eastAsia="uk-UA" w:bidi="uk-UA"/>
        </w:rPr>
        <w:t>виглядає наступним чином</w:t>
      </w:r>
      <w:r>
        <w:rPr>
          <w:rFonts w:ascii="Times New Roman" w:eastAsia="Times New Roman" w:hAnsi="Times New Roman" w:cs="Times New Roman"/>
          <w:sz w:val="24"/>
          <w:szCs w:val="24"/>
          <w:lang w:eastAsia="uk-UA" w:bidi="uk-UA"/>
        </w:rPr>
        <w:t>.</w:t>
      </w:r>
    </w:p>
    <w:p w:rsidR="00D60B2F" w:rsidRDefault="00D60B2F"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p>
    <w:p w:rsidR="001D5622" w:rsidRDefault="001D5622" w:rsidP="00730446">
      <w:pPr>
        <w:widowControl w:val="0"/>
        <w:spacing w:after="0" w:line="0" w:lineRule="atLeast"/>
        <w:ind w:firstLine="284"/>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noProof/>
          <w:sz w:val="24"/>
          <w:szCs w:val="24"/>
          <w:lang w:eastAsia="uk-UA"/>
        </w:rPr>
        <w:drawing>
          <wp:inline distT="0" distB="0" distL="0" distR="0">
            <wp:extent cx="5785757" cy="3608614"/>
            <wp:effectExtent l="0" t="0" r="571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F7147" w:rsidRPr="00207F89" w:rsidRDefault="00AF7147" w:rsidP="00AF7147">
      <w:pPr>
        <w:widowControl w:val="0"/>
        <w:spacing w:after="0" w:line="0" w:lineRule="atLeast"/>
        <w:jc w:val="both"/>
        <w:rPr>
          <w:rFonts w:ascii="Times New Roman" w:eastAsia="Times New Roman" w:hAnsi="Times New Roman" w:cs="Times New Roman"/>
          <w:sz w:val="24"/>
          <w:szCs w:val="24"/>
          <w:lang w:eastAsia="uk-UA" w:bidi="uk-UA"/>
        </w:rPr>
      </w:pPr>
    </w:p>
    <w:p w:rsidR="000344C6" w:rsidRDefault="0055424F" w:rsidP="00BA1998">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Як бачимо</w:t>
      </w:r>
      <w:r w:rsidR="00CF1DD8">
        <w:rPr>
          <w:rFonts w:ascii="Times New Roman" w:eastAsia="Times New Roman" w:hAnsi="Times New Roman" w:cs="Times New Roman"/>
          <w:sz w:val="24"/>
          <w:szCs w:val="24"/>
          <w:lang w:eastAsia="uk-UA" w:bidi="uk-UA"/>
        </w:rPr>
        <w:t xml:space="preserve">, динаміка надходження </w:t>
      </w:r>
      <w:r w:rsidR="00BA1998">
        <w:rPr>
          <w:rFonts w:ascii="Times New Roman" w:eastAsia="Times New Roman" w:hAnsi="Times New Roman" w:cs="Times New Roman"/>
          <w:sz w:val="24"/>
          <w:szCs w:val="24"/>
          <w:lang w:eastAsia="uk-UA" w:bidi="uk-UA"/>
        </w:rPr>
        <w:t xml:space="preserve">значно </w:t>
      </w:r>
      <w:r w:rsidR="00CF1DD8">
        <w:rPr>
          <w:rFonts w:ascii="Times New Roman" w:eastAsia="Times New Roman" w:hAnsi="Times New Roman" w:cs="Times New Roman"/>
          <w:sz w:val="24"/>
          <w:szCs w:val="24"/>
          <w:lang w:eastAsia="uk-UA" w:bidi="uk-UA"/>
        </w:rPr>
        <w:t>відрізняється від 2017 року та найбільше надходження спостерігається у травні</w:t>
      </w:r>
      <w:r>
        <w:rPr>
          <w:rFonts w:ascii="Times New Roman" w:eastAsia="Times New Roman" w:hAnsi="Times New Roman" w:cs="Times New Roman"/>
          <w:sz w:val="24"/>
          <w:szCs w:val="24"/>
          <w:lang w:eastAsia="uk-UA" w:bidi="uk-UA"/>
        </w:rPr>
        <w:t xml:space="preserve"> 2018 </w:t>
      </w:r>
      <w:r w:rsidR="00CF1DD8">
        <w:rPr>
          <w:rFonts w:ascii="Times New Roman" w:eastAsia="Times New Roman" w:hAnsi="Times New Roman" w:cs="Times New Roman"/>
          <w:sz w:val="24"/>
          <w:szCs w:val="24"/>
          <w:lang w:eastAsia="uk-UA" w:bidi="uk-UA"/>
        </w:rPr>
        <w:t xml:space="preserve">року. </w:t>
      </w:r>
    </w:p>
    <w:p w:rsidR="000D0F36" w:rsidRDefault="00723740" w:rsidP="00237DCF">
      <w:pPr>
        <w:widowControl w:val="0"/>
        <w:spacing w:after="0" w:line="0" w:lineRule="atLeast"/>
        <w:ind w:firstLine="782"/>
        <w:jc w:val="both"/>
        <w:rPr>
          <w:rFonts w:ascii="Times New Roman" w:eastAsia="Times New Roman" w:hAnsi="Times New Roman" w:cs="Times New Roman"/>
          <w:sz w:val="24"/>
          <w:szCs w:val="24"/>
          <w:lang w:eastAsia="uk-UA"/>
        </w:rPr>
      </w:pPr>
      <w:r w:rsidRPr="00207F89">
        <w:rPr>
          <w:rFonts w:ascii="Times New Roman" w:eastAsia="Times New Roman" w:hAnsi="Times New Roman" w:cs="Times New Roman"/>
          <w:sz w:val="24"/>
          <w:szCs w:val="24"/>
          <w:lang w:eastAsia="uk-UA"/>
        </w:rPr>
        <w:t>На виконання рішення Ради суддів адміністративних судів України № 155 від 02.12.2013 щомісяця в суді формується довідка «Інформація про основні показники здійснення судочинства Львівським окру</w:t>
      </w:r>
      <w:r w:rsidR="00237DCF">
        <w:rPr>
          <w:rFonts w:ascii="Times New Roman" w:eastAsia="Times New Roman" w:hAnsi="Times New Roman" w:cs="Times New Roman"/>
          <w:sz w:val="24"/>
          <w:szCs w:val="24"/>
          <w:lang w:eastAsia="uk-UA"/>
        </w:rPr>
        <w:t xml:space="preserve">жним адміністративним судом», у якій відображається </w:t>
      </w:r>
      <w:proofErr w:type="spellStart"/>
      <w:r w:rsidR="00237DCF">
        <w:rPr>
          <w:rFonts w:ascii="Times New Roman" w:eastAsia="Times New Roman" w:hAnsi="Times New Roman" w:cs="Times New Roman"/>
          <w:sz w:val="24"/>
          <w:szCs w:val="24"/>
          <w:lang w:eastAsia="uk-UA" w:bidi="uk-UA"/>
        </w:rPr>
        <w:t>середньомісячнє</w:t>
      </w:r>
      <w:proofErr w:type="spellEnd"/>
      <w:r w:rsidR="000507EE">
        <w:rPr>
          <w:rFonts w:ascii="Times New Roman" w:eastAsia="Times New Roman" w:hAnsi="Times New Roman" w:cs="Times New Roman"/>
          <w:sz w:val="24"/>
          <w:szCs w:val="24"/>
          <w:lang w:eastAsia="uk-UA" w:bidi="uk-UA"/>
        </w:rPr>
        <w:t xml:space="preserve"> надходження справ і матеріалів</w:t>
      </w:r>
      <w:r w:rsidR="000D0F36">
        <w:rPr>
          <w:rFonts w:ascii="Times New Roman" w:eastAsia="Times New Roman" w:hAnsi="Times New Roman" w:cs="Times New Roman"/>
          <w:sz w:val="24"/>
          <w:szCs w:val="24"/>
          <w:lang w:eastAsia="uk-UA" w:bidi="uk-UA"/>
        </w:rPr>
        <w:t>.</w:t>
      </w:r>
    </w:p>
    <w:p w:rsidR="00990391" w:rsidRDefault="0050150C"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Порівняльна тенденція </w:t>
      </w:r>
      <w:r w:rsidR="00A55FC9">
        <w:rPr>
          <w:rFonts w:ascii="Times New Roman" w:eastAsia="Times New Roman" w:hAnsi="Times New Roman" w:cs="Times New Roman"/>
          <w:sz w:val="24"/>
          <w:szCs w:val="24"/>
          <w:lang w:eastAsia="uk-UA" w:bidi="uk-UA"/>
        </w:rPr>
        <w:t>середньомісячного навантаження на одного суддю</w:t>
      </w:r>
      <w:r w:rsidR="00990391">
        <w:rPr>
          <w:rFonts w:ascii="Times New Roman" w:eastAsia="Times New Roman" w:hAnsi="Times New Roman" w:cs="Times New Roman"/>
          <w:sz w:val="24"/>
          <w:szCs w:val="24"/>
          <w:lang w:eastAsia="uk-UA" w:bidi="uk-UA"/>
        </w:rPr>
        <w:t xml:space="preserve"> </w:t>
      </w:r>
      <w:r w:rsidR="00EF2B11">
        <w:rPr>
          <w:rFonts w:ascii="Times New Roman" w:eastAsia="Times New Roman" w:hAnsi="Times New Roman" w:cs="Times New Roman"/>
          <w:sz w:val="24"/>
          <w:szCs w:val="24"/>
          <w:lang w:eastAsia="uk-UA" w:bidi="uk-UA"/>
        </w:rPr>
        <w:t>за 2016-2018</w:t>
      </w:r>
      <w:r w:rsidR="00254BAE">
        <w:rPr>
          <w:rFonts w:ascii="Times New Roman" w:eastAsia="Times New Roman" w:hAnsi="Times New Roman" w:cs="Times New Roman"/>
          <w:sz w:val="24"/>
          <w:szCs w:val="24"/>
          <w:lang w:eastAsia="uk-UA" w:bidi="uk-UA"/>
        </w:rPr>
        <w:t xml:space="preserve"> роки </w:t>
      </w:r>
      <w:r w:rsidR="00990391">
        <w:rPr>
          <w:rFonts w:ascii="Times New Roman" w:eastAsia="Times New Roman" w:hAnsi="Times New Roman" w:cs="Times New Roman"/>
          <w:sz w:val="24"/>
          <w:szCs w:val="24"/>
          <w:lang w:eastAsia="uk-UA" w:bidi="uk-UA"/>
        </w:rPr>
        <w:t xml:space="preserve">відображена у </w:t>
      </w:r>
      <w:r w:rsidR="004D5070">
        <w:rPr>
          <w:rFonts w:ascii="Times New Roman" w:eastAsia="Times New Roman" w:hAnsi="Times New Roman" w:cs="Times New Roman"/>
          <w:sz w:val="24"/>
          <w:szCs w:val="24"/>
          <w:lang w:eastAsia="uk-UA" w:bidi="uk-UA"/>
        </w:rPr>
        <w:t xml:space="preserve">наступній </w:t>
      </w:r>
      <w:r w:rsidR="00990391">
        <w:rPr>
          <w:rFonts w:ascii="Times New Roman" w:eastAsia="Times New Roman" w:hAnsi="Times New Roman" w:cs="Times New Roman"/>
          <w:sz w:val="24"/>
          <w:szCs w:val="24"/>
          <w:lang w:eastAsia="uk-UA" w:bidi="uk-UA"/>
        </w:rPr>
        <w:t>діаграмі.</w:t>
      </w:r>
    </w:p>
    <w:p w:rsidR="00AF7147" w:rsidRDefault="00AF7147"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p>
    <w:p w:rsidR="007422B4" w:rsidRDefault="008E36B4" w:rsidP="00207F89">
      <w:pPr>
        <w:widowControl w:val="0"/>
        <w:spacing w:after="0" w:line="0" w:lineRule="atLeast"/>
        <w:ind w:firstLine="780"/>
        <w:jc w:val="both"/>
        <w:rPr>
          <w:rFonts w:ascii="Times New Roman" w:eastAsia="Times New Roman" w:hAnsi="Times New Roman" w:cs="Times New Roman"/>
          <w:sz w:val="24"/>
          <w:szCs w:val="24"/>
          <w:lang w:eastAsia="uk-UA" w:bidi="uk-UA"/>
        </w:rPr>
      </w:pPr>
      <w:r w:rsidRPr="00A609CC">
        <w:rPr>
          <w:rFonts w:ascii="Times New Roman" w:eastAsia="Times New Roman" w:hAnsi="Times New Roman" w:cs="Times New Roman"/>
          <w:noProof/>
          <w:sz w:val="24"/>
          <w:szCs w:val="24"/>
          <w:bdr w:val="single" w:sz="4" w:space="0" w:color="auto"/>
          <w:lang w:eastAsia="uk-UA"/>
        </w:rPr>
        <w:drawing>
          <wp:inline distT="0" distB="0" distL="0" distR="0">
            <wp:extent cx="5487670" cy="2103120"/>
            <wp:effectExtent l="19050" t="0" r="1778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09CC" w:rsidRDefault="00A609CC" w:rsidP="00AF7147">
      <w:pPr>
        <w:widowControl w:val="0"/>
        <w:spacing w:after="0" w:line="0" w:lineRule="atLeast"/>
        <w:jc w:val="both"/>
        <w:rPr>
          <w:rFonts w:ascii="Times New Roman" w:eastAsia="Times New Roman" w:hAnsi="Times New Roman" w:cs="Times New Roman"/>
          <w:sz w:val="24"/>
          <w:szCs w:val="24"/>
          <w:lang w:eastAsia="uk-UA" w:bidi="uk-UA"/>
        </w:rPr>
      </w:pPr>
    </w:p>
    <w:p w:rsidR="00A609CC" w:rsidRDefault="00CF1DD8" w:rsidP="00AF7147">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С</w:t>
      </w:r>
      <w:r w:rsidR="0097491B">
        <w:rPr>
          <w:rFonts w:ascii="Times New Roman" w:eastAsia="Times New Roman" w:hAnsi="Times New Roman" w:cs="Times New Roman"/>
          <w:sz w:val="24"/>
          <w:szCs w:val="24"/>
          <w:lang w:eastAsia="uk-UA" w:bidi="uk-UA"/>
        </w:rPr>
        <w:t>ередньомісячне надходження справ та матеріалі</w:t>
      </w:r>
      <w:r w:rsidR="00730446">
        <w:rPr>
          <w:rFonts w:ascii="Times New Roman" w:eastAsia="Times New Roman" w:hAnsi="Times New Roman" w:cs="Times New Roman"/>
          <w:sz w:val="24"/>
          <w:szCs w:val="24"/>
          <w:lang w:eastAsia="uk-UA" w:bidi="uk-UA"/>
        </w:rPr>
        <w:t xml:space="preserve">в </w:t>
      </w:r>
      <w:r w:rsidR="001D308A">
        <w:rPr>
          <w:rFonts w:ascii="Times New Roman" w:eastAsia="Times New Roman" w:hAnsi="Times New Roman" w:cs="Times New Roman"/>
          <w:sz w:val="24"/>
          <w:szCs w:val="24"/>
          <w:lang w:eastAsia="uk-UA" w:bidi="uk-UA"/>
        </w:rPr>
        <w:t xml:space="preserve">на одного суддю </w:t>
      </w:r>
      <w:r w:rsidR="002435CE">
        <w:rPr>
          <w:rFonts w:ascii="Times New Roman" w:eastAsia="Times New Roman" w:hAnsi="Times New Roman" w:cs="Times New Roman"/>
          <w:sz w:val="24"/>
          <w:szCs w:val="24"/>
          <w:lang w:eastAsia="uk-UA" w:bidi="uk-UA"/>
        </w:rPr>
        <w:t>має тенденцію до збіль</w:t>
      </w:r>
      <w:r w:rsidR="00B65D49">
        <w:rPr>
          <w:rFonts w:ascii="Times New Roman" w:eastAsia="Times New Roman" w:hAnsi="Times New Roman" w:cs="Times New Roman"/>
          <w:sz w:val="24"/>
          <w:szCs w:val="24"/>
          <w:lang w:eastAsia="uk-UA" w:bidi="uk-UA"/>
        </w:rPr>
        <w:t>шення та у 2018 році зросло</w:t>
      </w:r>
      <w:r w:rsidR="002435CE">
        <w:rPr>
          <w:rFonts w:ascii="Times New Roman" w:eastAsia="Times New Roman" w:hAnsi="Times New Roman" w:cs="Times New Roman"/>
          <w:sz w:val="24"/>
          <w:szCs w:val="24"/>
          <w:lang w:eastAsia="uk-UA" w:bidi="uk-UA"/>
        </w:rPr>
        <w:t xml:space="preserve"> н</w:t>
      </w:r>
      <w:r w:rsidR="004C6FA2">
        <w:rPr>
          <w:rFonts w:ascii="Times New Roman" w:eastAsia="Times New Roman" w:hAnsi="Times New Roman" w:cs="Times New Roman"/>
          <w:sz w:val="24"/>
          <w:szCs w:val="24"/>
          <w:lang w:eastAsia="uk-UA" w:bidi="uk-UA"/>
        </w:rPr>
        <w:t>а 12 одиниць</w:t>
      </w:r>
      <w:r w:rsidR="00F737AF">
        <w:rPr>
          <w:rFonts w:ascii="Times New Roman" w:eastAsia="Times New Roman" w:hAnsi="Times New Roman" w:cs="Times New Roman"/>
          <w:sz w:val="24"/>
          <w:szCs w:val="24"/>
          <w:lang w:eastAsia="uk-UA" w:bidi="uk-UA"/>
        </w:rPr>
        <w:t>, а це на 18</w:t>
      </w:r>
      <w:r w:rsidR="00073EDB">
        <w:rPr>
          <w:rFonts w:ascii="Times New Roman" w:eastAsia="Times New Roman" w:hAnsi="Times New Roman" w:cs="Times New Roman"/>
          <w:sz w:val="24"/>
          <w:szCs w:val="24"/>
          <w:lang w:eastAsia="uk-UA" w:bidi="uk-UA"/>
        </w:rPr>
        <w:t xml:space="preserve"> % більше</w:t>
      </w:r>
      <w:r>
        <w:rPr>
          <w:rFonts w:ascii="Times New Roman" w:eastAsia="Times New Roman" w:hAnsi="Times New Roman" w:cs="Times New Roman"/>
          <w:sz w:val="24"/>
          <w:szCs w:val="24"/>
          <w:lang w:eastAsia="uk-UA" w:bidi="uk-UA"/>
        </w:rPr>
        <w:t xml:space="preserve"> у порівняні із 2017</w:t>
      </w:r>
      <w:r w:rsidR="0097491B">
        <w:rPr>
          <w:rFonts w:ascii="Times New Roman" w:eastAsia="Times New Roman" w:hAnsi="Times New Roman" w:cs="Times New Roman"/>
          <w:sz w:val="24"/>
          <w:szCs w:val="24"/>
          <w:lang w:eastAsia="uk-UA" w:bidi="uk-UA"/>
        </w:rPr>
        <w:t xml:space="preserve"> роком</w:t>
      </w:r>
      <w:r w:rsidR="00237DCF">
        <w:rPr>
          <w:rFonts w:ascii="Times New Roman" w:eastAsia="Times New Roman" w:hAnsi="Times New Roman" w:cs="Times New Roman"/>
          <w:sz w:val="24"/>
          <w:szCs w:val="24"/>
          <w:lang w:eastAsia="uk-UA" w:bidi="uk-UA"/>
        </w:rPr>
        <w:t xml:space="preserve"> (67)</w:t>
      </w:r>
      <w:r w:rsidR="0097491B">
        <w:rPr>
          <w:rFonts w:ascii="Times New Roman" w:eastAsia="Times New Roman" w:hAnsi="Times New Roman" w:cs="Times New Roman"/>
          <w:sz w:val="24"/>
          <w:szCs w:val="24"/>
          <w:lang w:eastAsia="uk-UA" w:bidi="uk-UA"/>
        </w:rPr>
        <w:t>.</w:t>
      </w:r>
    </w:p>
    <w:p w:rsidR="00B65D49" w:rsidRDefault="00CF1DD8" w:rsidP="00AF7147">
      <w:pPr>
        <w:widowControl w:val="0"/>
        <w:spacing w:after="0" w:line="0" w:lineRule="atLeast"/>
        <w:ind w:firstLine="780"/>
        <w:jc w:val="both"/>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 xml:space="preserve">Фактично правосуддя у Львівському окружному адміністративному суді протягом 2018 </w:t>
      </w:r>
      <w:r>
        <w:rPr>
          <w:rFonts w:ascii="Times New Roman" w:eastAsia="Times New Roman" w:hAnsi="Times New Roman" w:cs="Times New Roman"/>
          <w:sz w:val="24"/>
          <w:szCs w:val="24"/>
          <w:lang w:eastAsia="uk-UA" w:bidi="uk-UA"/>
        </w:rPr>
        <w:lastRenderedPageBreak/>
        <w:t>року зд</w:t>
      </w:r>
      <w:r w:rsidR="00F737AF">
        <w:rPr>
          <w:rFonts w:ascii="Times New Roman" w:eastAsia="Times New Roman" w:hAnsi="Times New Roman" w:cs="Times New Roman"/>
          <w:sz w:val="24"/>
          <w:szCs w:val="24"/>
          <w:lang w:eastAsia="uk-UA" w:bidi="uk-UA"/>
        </w:rPr>
        <w:t>ійснювалося 18</w:t>
      </w:r>
      <w:r>
        <w:rPr>
          <w:rFonts w:ascii="Times New Roman" w:eastAsia="Times New Roman" w:hAnsi="Times New Roman" w:cs="Times New Roman"/>
          <w:sz w:val="24"/>
          <w:szCs w:val="24"/>
          <w:lang w:eastAsia="uk-UA" w:bidi="uk-UA"/>
        </w:rPr>
        <w:t xml:space="preserve"> суддями, при штатній чисельності 31 суддя. </w:t>
      </w:r>
    </w:p>
    <w:p w:rsidR="00AB17A1" w:rsidRPr="00207F89" w:rsidRDefault="00724B06" w:rsidP="00BA1998">
      <w:pPr>
        <w:widowControl w:val="0"/>
        <w:spacing w:after="0" w:line="0" w:lineRule="atLeas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ab/>
      </w:r>
    </w:p>
    <w:p w:rsidR="00207F89" w:rsidRPr="00207F89" w:rsidRDefault="002D282B" w:rsidP="00207F89">
      <w:pPr>
        <w:widowControl w:val="0"/>
        <w:spacing w:after="0" w:line="0" w:lineRule="atLeast"/>
        <w:ind w:firstLine="780"/>
        <w:jc w:val="center"/>
        <w:rPr>
          <w:rFonts w:ascii="Times New Roman" w:eastAsia="Times New Roman" w:hAnsi="Times New Roman" w:cs="Times New Roman"/>
          <w:b/>
          <w:color w:val="000000"/>
          <w:sz w:val="24"/>
          <w:szCs w:val="24"/>
          <w:lang w:eastAsia="uk-UA" w:bidi="uk-UA"/>
        </w:rPr>
      </w:pPr>
      <w:r>
        <w:rPr>
          <w:rFonts w:ascii="Times New Roman" w:eastAsia="Times New Roman" w:hAnsi="Times New Roman" w:cs="Times New Roman"/>
          <w:b/>
          <w:color w:val="000000"/>
          <w:sz w:val="24"/>
          <w:szCs w:val="24"/>
          <w:lang w:eastAsia="uk-UA" w:bidi="uk-UA"/>
        </w:rPr>
        <w:t>ІІ. Категорії справ, що перебували на розгляді</w:t>
      </w:r>
      <w:r w:rsidR="00207F89" w:rsidRPr="00207F89">
        <w:rPr>
          <w:rFonts w:ascii="Times New Roman" w:eastAsia="Times New Roman" w:hAnsi="Times New Roman" w:cs="Times New Roman"/>
          <w:b/>
          <w:color w:val="000000"/>
          <w:sz w:val="24"/>
          <w:szCs w:val="24"/>
          <w:lang w:eastAsia="uk-UA" w:bidi="uk-UA"/>
        </w:rPr>
        <w:t xml:space="preserve"> </w:t>
      </w:r>
      <w:r w:rsidR="00730446">
        <w:rPr>
          <w:rFonts w:ascii="Times New Roman" w:eastAsia="Times New Roman" w:hAnsi="Times New Roman" w:cs="Times New Roman"/>
          <w:b/>
          <w:color w:val="000000"/>
          <w:sz w:val="24"/>
          <w:szCs w:val="24"/>
          <w:lang w:eastAsia="uk-UA" w:bidi="uk-UA"/>
        </w:rPr>
        <w:t>в суді</w:t>
      </w:r>
    </w:p>
    <w:p w:rsidR="00207F89" w:rsidRPr="00207F89" w:rsidRDefault="00207F8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B65D49" w:rsidRDefault="00207F89" w:rsidP="00BA1998">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 xml:space="preserve">Рішенням Ради суддів адміністративних судів України № 114 від 31.10.2013 затверджено класифікатор категорій адміністративних справ, яким визначено 13 видів категорій справ, із них Львівським окружним адміністративним судом </w:t>
      </w:r>
      <w:r w:rsidR="00B65D49">
        <w:rPr>
          <w:rFonts w:ascii="Times New Roman" w:eastAsia="Times New Roman" w:hAnsi="Times New Roman" w:cs="Times New Roman"/>
          <w:color w:val="000000"/>
          <w:sz w:val="24"/>
          <w:szCs w:val="24"/>
          <w:lang w:eastAsia="uk-UA" w:bidi="uk-UA"/>
        </w:rPr>
        <w:t>розглядається 12 категорій</w:t>
      </w:r>
      <w:r w:rsidRPr="00207F89">
        <w:rPr>
          <w:rFonts w:ascii="Times New Roman" w:eastAsia="Times New Roman" w:hAnsi="Times New Roman" w:cs="Times New Roman"/>
          <w:color w:val="000000"/>
          <w:sz w:val="24"/>
          <w:szCs w:val="24"/>
          <w:lang w:eastAsia="uk-UA" w:bidi="uk-UA"/>
        </w:rPr>
        <w:t xml:space="preserve">. </w:t>
      </w:r>
    </w:p>
    <w:p w:rsidR="00207F89" w:rsidRDefault="00BA1998" w:rsidP="00073A17">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Порівняння н</w:t>
      </w:r>
      <w:r w:rsidR="00B65D49">
        <w:rPr>
          <w:rFonts w:ascii="Times New Roman" w:eastAsia="Times New Roman" w:hAnsi="Times New Roman" w:cs="Times New Roman"/>
          <w:color w:val="000000"/>
          <w:sz w:val="24"/>
          <w:szCs w:val="24"/>
          <w:lang w:eastAsia="uk-UA" w:bidi="uk-UA"/>
        </w:rPr>
        <w:t xml:space="preserve">адходження </w:t>
      </w:r>
      <w:r>
        <w:rPr>
          <w:rFonts w:ascii="Times New Roman" w:eastAsia="Times New Roman" w:hAnsi="Times New Roman" w:cs="Times New Roman"/>
          <w:color w:val="000000"/>
          <w:sz w:val="24"/>
          <w:szCs w:val="24"/>
          <w:lang w:eastAsia="uk-UA" w:bidi="uk-UA"/>
        </w:rPr>
        <w:t>справ по категоріях у</w:t>
      </w:r>
      <w:r w:rsidR="00B65D49">
        <w:rPr>
          <w:rFonts w:ascii="Times New Roman" w:eastAsia="Times New Roman" w:hAnsi="Times New Roman" w:cs="Times New Roman"/>
          <w:color w:val="000000"/>
          <w:sz w:val="24"/>
          <w:szCs w:val="24"/>
          <w:lang w:eastAsia="uk-UA" w:bidi="uk-UA"/>
        </w:rPr>
        <w:t xml:space="preserve"> 2017 </w:t>
      </w:r>
      <w:r>
        <w:rPr>
          <w:rFonts w:ascii="Times New Roman" w:eastAsia="Times New Roman" w:hAnsi="Times New Roman" w:cs="Times New Roman"/>
          <w:color w:val="000000"/>
          <w:sz w:val="24"/>
          <w:szCs w:val="24"/>
          <w:lang w:eastAsia="uk-UA" w:bidi="uk-UA"/>
        </w:rPr>
        <w:t>році та 2018 році</w:t>
      </w:r>
      <w:r w:rsidR="00073A17">
        <w:rPr>
          <w:rFonts w:ascii="Times New Roman" w:eastAsia="Times New Roman" w:hAnsi="Times New Roman" w:cs="Times New Roman"/>
          <w:color w:val="000000"/>
          <w:sz w:val="24"/>
          <w:szCs w:val="24"/>
          <w:lang w:eastAsia="uk-UA" w:bidi="uk-UA"/>
        </w:rPr>
        <w:t xml:space="preserve"> наведено у наступній таблиці.</w:t>
      </w:r>
    </w:p>
    <w:p w:rsidR="00073A17" w:rsidRPr="00073A17" w:rsidRDefault="00073A17" w:rsidP="00073A17">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tbl>
      <w:tblPr>
        <w:tblW w:w="4394"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4170"/>
        <w:gridCol w:w="1365"/>
        <w:gridCol w:w="1365"/>
        <w:gridCol w:w="1361"/>
      </w:tblGrid>
      <w:tr w:rsidR="00B65D49" w:rsidRPr="00073A17" w:rsidTr="00BA1998">
        <w:trPr>
          <w:trHeight w:val="509"/>
        </w:trPr>
        <w:tc>
          <w:tcPr>
            <w:tcW w:w="400" w:type="pct"/>
            <w:shd w:val="clear" w:color="auto" w:fill="auto"/>
            <w:hideMark/>
          </w:tcPr>
          <w:p w:rsidR="00B65D49" w:rsidRPr="00073A17" w:rsidRDefault="00B65D49" w:rsidP="00207F89">
            <w:pPr>
              <w:widowControl w:val="0"/>
              <w:shd w:val="clear" w:color="auto" w:fill="FFFFFF"/>
              <w:spacing w:after="0" w:line="0" w:lineRule="atLeast"/>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 п/</w:t>
            </w:r>
            <w:proofErr w:type="spellStart"/>
            <w:r w:rsidRPr="00073A17">
              <w:rPr>
                <w:rFonts w:ascii="Times New Roman" w:eastAsia="Times New Roman" w:hAnsi="Times New Roman" w:cs="Times New Roman"/>
                <w:b/>
                <w:bCs/>
                <w:lang w:eastAsia="uk-UA"/>
              </w:rPr>
              <w:t>п</w:t>
            </w:r>
            <w:proofErr w:type="spellEnd"/>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Категорія справи</w:t>
            </w:r>
          </w:p>
        </w:tc>
        <w:tc>
          <w:tcPr>
            <w:tcW w:w="760" w:type="pct"/>
          </w:tcPr>
          <w:p w:rsidR="00B65D49" w:rsidRPr="00073A17" w:rsidRDefault="00F20C20"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2017</w:t>
            </w:r>
            <w:r w:rsidR="00B65D49" w:rsidRPr="00073A17">
              <w:rPr>
                <w:rFonts w:ascii="Times New Roman" w:eastAsia="Times New Roman" w:hAnsi="Times New Roman" w:cs="Times New Roman"/>
                <w:b/>
                <w:bCs/>
                <w:lang w:eastAsia="uk-UA"/>
              </w:rPr>
              <w:t xml:space="preserve"> рік</w:t>
            </w:r>
          </w:p>
        </w:tc>
        <w:tc>
          <w:tcPr>
            <w:tcW w:w="760" w:type="pct"/>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2018</w:t>
            </w:r>
            <w:r w:rsidR="00B65D49" w:rsidRPr="00073A17">
              <w:rPr>
                <w:rFonts w:ascii="Times New Roman" w:eastAsia="Times New Roman" w:hAnsi="Times New Roman" w:cs="Times New Roman"/>
                <w:b/>
                <w:bCs/>
                <w:lang w:eastAsia="uk-UA"/>
              </w:rPr>
              <w:t xml:space="preserve"> рік</w:t>
            </w:r>
          </w:p>
        </w:tc>
        <w:tc>
          <w:tcPr>
            <w:tcW w:w="758" w:type="pct"/>
            <w:shd w:val="clear" w:color="auto" w:fill="auto"/>
          </w:tcPr>
          <w:p w:rsidR="00B65D49" w:rsidRPr="00073A17" w:rsidRDefault="00B65D49"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 xml:space="preserve">Динаміка </w:t>
            </w:r>
          </w:p>
          <w:p w:rsidR="00B65D49" w:rsidRPr="00073A17" w:rsidRDefault="00B65D49" w:rsidP="00207F89">
            <w:pPr>
              <w:widowControl w:val="0"/>
              <w:shd w:val="clear" w:color="auto" w:fill="FFFFFF"/>
              <w:spacing w:after="0" w:line="0" w:lineRule="atLeast"/>
              <w:jc w:val="center"/>
              <w:rPr>
                <w:rFonts w:ascii="Times New Roman" w:eastAsia="Times New Roman" w:hAnsi="Times New Roman" w:cs="Times New Roman"/>
                <w:b/>
                <w:bCs/>
                <w:lang w:eastAsia="uk-UA"/>
              </w:rPr>
            </w:pPr>
          </w:p>
        </w:tc>
      </w:tr>
      <w:tr w:rsidR="00B65D49" w:rsidRPr="00073A17" w:rsidTr="00B65D49">
        <w:trPr>
          <w:trHeight w:val="645"/>
        </w:trPr>
        <w:tc>
          <w:tcPr>
            <w:tcW w:w="400" w:type="pct"/>
            <w:shd w:val="clear" w:color="auto" w:fill="auto"/>
            <w:hideMark/>
          </w:tcPr>
          <w:p w:rsidR="00B65D49" w:rsidRPr="00073A17" w:rsidRDefault="00B65D4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1</w:t>
            </w:r>
          </w:p>
        </w:tc>
        <w:tc>
          <w:tcPr>
            <w:tcW w:w="2322" w:type="pct"/>
            <w:shd w:val="clear" w:color="auto" w:fill="auto"/>
            <w:hideMark/>
          </w:tcPr>
          <w:p w:rsidR="00B65D49" w:rsidRPr="00073A17" w:rsidRDefault="00B65D49" w:rsidP="00F20C20">
            <w:pPr>
              <w:widowControl w:val="0"/>
              <w:shd w:val="clear" w:color="auto" w:fill="FFFFFF"/>
              <w:spacing w:after="0" w:line="0" w:lineRule="atLeast"/>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забезпечення реалізації громадянами права голосу на виборах і референдумах</w:t>
            </w:r>
          </w:p>
        </w:tc>
        <w:tc>
          <w:tcPr>
            <w:tcW w:w="760" w:type="pct"/>
          </w:tcPr>
          <w:p w:rsidR="00B65D49" w:rsidRPr="00073A17" w:rsidRDefault="00BA1998"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w:t>
            </w:r>
          </w:p>
        </w:tc>
        <w:tc>
          <w:tcPr>
            <w:tcW w:w="758" w:type="pct"/>
            <w:shd w:val="clear" w:color="auto" w:fill="auto"/>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-5</w:t>
            </w:r>
          </w:p>
        </w:tc>
      </w:tr>
      <w:tr w:rsidR="00B65D49" w:rsidRPr="00073A17" w:rsidTr="00B65D49">
        <w:trPr>
          <w:trHeight w:val="1110"/>
        </w:trPr>
        <w:tc>
          <w:tcPr>
            <w:tcW w:w="400" w:type="pct"/>
            <w:shd w:val="clear" w:color="auto" w:fill="auto"/>
            <w:noWrap/>
            <w:hideMark/>
          </w:tcPr>
          <w:p w:rsidR="00B65D49" w:rsidRPr="00073A17" w:rsidRDefault="00B65D4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2</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 xml:space="preserve">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w:t>
            </w:r>
            <w:r w:rsidR="00F20C20" w:rsidRPr="00073A17">
              <w:rPr>
                <w:rFonts w:ascii="Times New Roman" w:eastAsia="Times New Roman" w:hAnsi="Times New Roman" w:cs="Times New Roman"/>
                <w:bCs/>
                <w:lang w:eastAsia="uk-UA"/>
              </w:rPr>
              <w:t>органів.</w:t>
            </w:r>
          </w:p>
        </w:tc>
        <w:tc>
          <w:tcPr>
            <w:tcW w:w="760" w:type="pct"/>
          </w:tcPr>
          <w:p w:rsidR="00B65D49" w:rsidRPr="00073A17" w:rsidRDefault="00BA1998"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45</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108</w:t>
            </w:r>
          </w:p>
        </w:tc>
        <w:tc>
          <w:tcPr>
            <w:tcW w:w="758" w:type="pct"/>
            <w:shd w:val="clear" w:color="auto" w:fill="auto"/>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+63</w:t>
            </w:r>
          </w:p>
        </w:tc>
      </w:tr>
      <w:tr w:rsidR="00B65D49" w:rsidRPr="00073A17" w:rsidTr="00B65D49">
        <w:trPr>
          <w:trHeight w:val="810"/>
        </w:trPr>
        <w:tc>
          <w:tcPr>
            <w:tcW w:w="400" w:type="pct"/>
            <w:shd w:val="clear" w:color="auto" w:fill="auto"/>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3</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 xml:space="preserve">Справи зі спорів з приводу забезпечення громадського порядку та безпеки, національної безпеки та оборони </w:t>
            </w:r>
            <w:r w:rsidR="00F20C20" w:rsidRPr="00073A17">
              <w:rPr>
                <w:rFonts w:ascii="Times New Roman" w:eastAsia="Times New Roman" w:hAnsi="Times New Roman" w:cs="Times New Roman"/>
                <w:bCs/>
                <w:lang w:eastAsia="uk-UA"/>
              </w:rPr>
              <w:t>України.</w:t>
            </w:r>
          </w:p>
        </w:tc>
        <w:tc>
          <w:tcPr>
            <w:tcW w:w="760" w:type="pct"/>
          </w:tcPr>
          <w:p w:rsidR="00B65D49" w:rsidRPr="00073A17" w:rsidRDefault="00BA1998"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143</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181</w:t>
            </w:r>
          </w:p>
        </w:tc>
        <w:tc>
          <w:tcPr>
            <w:tcW w:w="758" w:type="pct"/>
            <w:shd w:val="clear" w:color="auto" w:fill="auto"/>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+38</w:t>
            </w:r>
          </w:p>
        </w:tc>
      </w:tr>
      <w:tr w:rsidR="00B65D49" w:rsidRPr="00073A17" w:rsidTr="00B65D49">
        <w:trPr>
          <w:trHeight w:val="540"/>
        </w:trPr>
        <w:tc>
          <w:tcPr>
            <w:tcW w:w="400" w:type="pct"/>
            <w:shd w:val="clear" w:color="auto" w:fill="auto"/>
            <w:noWrap/>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4</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реалізації державної політики у сфері освіти, науки, культури та спорту.</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43</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56</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+13</w:t>
            </w:r>
          </w:p>
        </w:tc>
      </w:tr>
      <w:tr w:rsidR="00B65D49" w:rsidRPr="00073A17" w:rsidTr="00B65D49">
        <w:trPr>
          <w:trHeight w:val="585"/>
        </w:trPr>
        <w:tc>
          <w:tcPr>
            <w:tcW w:w="400" w:type="pct"/>
            <w:shd w:val="clear" w:color="auto" w:fill="auto"/>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5</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реалізації державної політики у сфері ек</w:t>
            </w:r>
            <w:r w:rsidR="00F20C20" w:rsidRPr="00073A17">
              <w:rPr>
                <w:rFonts w:ascii="Times New Roman" w:eastAsia="Times New Roman" w:hAnsi="Times New Roman" w:cs="Times New Roman"/>
                <w:bCs/>
                <w:lang w:eastAsia="uk-UA"/>
              </w:rPr>
              <w:t>ономіки.</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216</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304</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+88</w:t>
            </w:r>
          </w:p>
        </w:tc>
      </w:tr>
      <w:tr w:rsidR="00B65D49" w:rsidRPr="00073A17" w:rsidTr="00B65D49">
        <w:trPr>
          <w:trHeight w:val="810"/>
        </w:trPr>
        <w:tc>
          <w:tcPr>
            <w:tcW w:w="400" w:type="pct"/>
            <w:shd w:val="clear" w:color="auto" w:fill="auto"/>
            <w:noWrap/>
            <w:hideMark/>
          </w:tcPr>
          <w:p w:rsidR="00B65D49" w:rsidRPr="00073A17" w:rsidRDefault="00B65D49"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6</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забезпечення сталого розвитку населених пунктів та землекористува</w:t>
            </w:r>
            <w:r w:rsidR="00073A17" w:rsidRPr="00073A17">
              <w:rPr>
                <w:rFonts w:ascii="Times New Roman" w:eastAsia="Times New Roman" w:hAnsi="Times New Roman" w:cs="Times New Roman"/>
                <w:bCs/>
                <w:lang w:eastAsia="uk-UA"/>
              </w:rPr>
              <w:t>ння.</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310</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544</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+234</w:t>
            </w:r>
          </w:p>
        </w:tc>
      </w:tr>
      <w:tr w:rsidR="00B65D49" w:rsidRPr="00073A17" w:rsidTr="00B65D49">
        <w:trPr>
          <w:trHeight w:val="615"/>
        </w:trPr>
        <w:tc>
          <w:tcPr>
            <w:tcW w:w="400" w:type="pct"/>
            <w:shd w:val="clear" w:color="auto" w:fill="auto"/>
            <w:noWrap/>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7</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охорони навколишнього природного сер</w:t>
            </w:r>
            <w:r w:rsidR="00073A17" w:rsidRPr="00073A17">
              <w:rPr>
                <w:rFonts w:ascii="Times New Roman" w:eastAsia="Times New Roman" w:hAnsi="Times New Roman" w:cs="Times New Roman"/>
                <w:bCs/>
                <w:lang w:eastAsia="uk-UA"/>
              </w:rPr>
              <w:t>едовища.</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13</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-11</w:t>
            </w:r>
          </w:p>
        </w:tc>
      </w:tr>
      <w:tr w:rsidR="00B65D49" w:rsidRPr="00073A17" w:rsidTr="00B65D49">
        <w:trPr>
          <w:trHeight w:val="870"/>
        </w:trPr>
        <w:tc>
          <w:tcPr>
            <w:tcW w:w="400" w:type="pct"/>
            <w:shd w:val="clear" w:color="auto" w:fill="auto"/>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8</w:t>
            </w:r>
          </w:p>
        </w:tc>
        <w:tc>
          <w:tcPr>
            <w:tcW w:w="2322" w:type="pct"/>
            <w:shd w:val="clear" w:color="auto" w:fill="auto"/>
            <w:hideMark/>
          </w:tcPr>
          <w:p w:rsidR="00B65D49" w:rsidRPr="00073A17" w:rsidRDefault="00B65D49" w:rsidP="00F20C20">
            <w:pPr>
              <w:widowControl w:val="0"/>
              <w:shd w:val="clear" w:color="auto" w:fill="FFFFFF"/>
              <w:spacing w:after="0" w:line="0" w:lineRule="atLeast"/>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адміністрування податків, зборів, платежів, а також контролю за дотриманням вимог податкового законо</w:t>
            </w:r>
            <w:r w:rsidR="00F20C20" w:rsidRPr="00073A17">
              <w:rPr>
                <w:rFonts w:ascii="Times New Roman" w:eastAsia="Times New Roman" w:hAnsi="Times New Roman" w:cs="Times New Roman"/>
                <w:bCs/>
                <w:lang w:eastAsia="uk-UA"/>
              </w:rPr>
              <w:t>давства.</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1138</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1392</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+254</w:t>
            </w:r>
          </w:p>
        </w:tc>
      </w:tr>
      <w:tr w:rsidR="00B65D49" w:rsidRPr="00073A17" w:rsidTr="00B65D49">
        <w:trPr>
          <w:trHeight w:val="570"/>
        </w:trPr>
        <w:tc>
          <w:tcPr>
            <w:tcW w:w="400" w:type="pct"/>
            <w:shd w:val="clear" w:color="auto" w:fill="auto"/>
            <w:noWrap/>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9</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реалізації пуб</w:t>
            </w:r>
            <w:r w:rsidR="00073A17" w:rsidRPr="00073A17">
              <w:rPr>
                <w:rFonts w:ascii="Times New Roman" w:eastAsia="Times New Roman" w:hAnsi="Times New Roman" w:cs="Times New Roman"/>
                <w:bCs/>
                <w:lang w:eastAsia="uk-UA"/>
              </w:rPr>
              <w:t>лічної фінансової політики.</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96</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80</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-16</w:t>
            </w:r>
          </w:p>
        </w:tc>
      </w:tr>
      <w:tr w:rsidR="00B65D49" w:rsidRPr="00073A17" w:rsidTr="00B65D49">
        <w:trPr>
          <w:trHeight w:val="1155"/>
        </w:trPr>
        <w:tc>
          <w:tcPr>
            <w:tcW w:w="400" w:type="pct"/>
            <w:shd w:val="clear" w:color="auto" w:fill="auto"/>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10</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w:t>
            </w:r>
            <w:r w:rsidR="00073A17" w:rsidRPr="00073A17">
              <w:rPr>
                <w:rFonts w:ascii="Times New Roman" w:eastAsia="Times New Roman" w:hAnsi="Times New Roman" w:cs="Times New Roman"/>
                <w:bCs/>
                <w:lang w:eastAsia="uk-UA"/>
              </w:rPr>
              <w:t>олітики.</w:t>
            </w:r>
          </w:p>
        </w:tc>
        <w:tc>
          <w:tcPr>
            <w:tcW w:w="760" w:type="pct"/>
          </w:tcPr>
          <w:p w:rsidR="00B65D49" w:rsidRPr="00073A17" w:rsidRDefault="005C18D2" w:rsidP="00207F89">
            <w:pPr>
              <w:widowControl w:val="0"/>
              <w:spacing w:after="0" w:line="0" w:lineRule="atLeast"/>
              <w:jc w:val="center"/>
              <w:rPr>
                <w:rFonts w:ascii="Times New Roman" w:eastAsia="Arial Unicode MS" w:hAnsi="Times New Roman" w:cs="Times New Roman"/>
                <w:color w:val="000000"/>
                <w:lang w:eastAsia="uk-UA" w:bidi="uk-UA"/>
              </w:rPr>
            </w:pPr>
            <w:r>
              <w:rPr>
                <w:rFonts w:ascii="Times New Roman" w:eastAsia="Arial Unicode MS" w:hAnsi="Times New Roman" w:cs="Times New Roman"/>
                <w:color w:val="000000"/>
                <w:lang w:eastAsia="uk-UA" w:bidi="uk-UA"/>
              </w:rPr>
              <w:t>1704</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1244</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-460</w:t>
            </w:r>
          </w:p>
        </w:tc>
      </w:tr>
      <w:tr w:rsidR="00B65D49" w:rsidRPr="00073A17" w:rsidTr="00B65D49">
        <w:trPr>
          <w:trHeight w:val="495"/>
        </w:trPr>
        <w:tc>
          <w:tcPr>
            <w:tcW w:w="400" w:type="pct"/>
            <w:shd w:val="clear" w:color="auto" w:fill="auto"/>
            <w:noWrap/>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11</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приводу забезпечення</w:t>
            </w:r>
            <w:r w:rsidR="00073A17" w:rsidRPr="00073A17">
              <w:rPr>
                <w:rFonts w:ascii="Times New Roman" w:eastAsia="Times New Roman" w:hAnsi="Times New Roman" w:cs="Times New Roman"/>
                <w:bCs/>
                <w:lang w:eastAsia="uk-UA"/>
              </w:rPr>
              <w:t xml:space="preserve"> юстиції.</w:t>
            </w:r>
          </w:p>
        </w:tc>
        <w:tc>
          <w:tcPr>
            <w:tcW w:w="760" w:type="pct"/>
          </w:tcPr>
          <w:p w:rsidR="00B65D49" w:rsidRPr="00073A17" w:rsidRDefault="005C18D2"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178</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212</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+34</w:t>
            </w:r>
          </w:p>
        </w:tc>
      </w:tr>
      <w:tr w:rsidR="00B65D49" w:rsidRPr="00073A17" w:rsidTr="00B65D49">
        <w:trPr>
          <w:trHeight w:val="570"/>
        </w:trPr>
        <w:tc>
          <w:tcPr>
            <w:tcW w:w="400" w:type="pct"/>
            <w:shd w:val="clear" w:color="auto" w:fill="auto"/>
            <w:noWrap/>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1</w:t>
            </w:r>
            <w:r w:rsidR="00B65D49" w:rsidRPr="00073A17">
              <w:rPr>
                <w:rFonts w:ascii="Times New Roman" w:eastAsia="Times New Roman" w:hAnsi="Times New Roman" w:cs="Times New Roman"/>
                <w:bCs/>
                <w:lang w:eastAsia="uk-UA"/>
              </w:rPr>
              <w:t>2</w:t>
            </w:r>
          </w:p>
        </w:tc>
        <w:tc>
          <w:tcPr>
            <w:tcW w:w="2322" w:type="pct"/>
            <w:shd w:val="clear" w:color="auto" w:fill="auto"/>
            <w:hideMark/>
          </w:tcPr>
          <w:p w:rsidR="00B65D49" w:rsidRPr="00073A17" w:rsidRDefault="00B65D49" w:rsidP="00207F89">
            <w:pPr>
              <w:widowControl w:val="0"/>
              <w:shd w:val="clear" w:color="auto" w:fill="FFFFFF"/>
              <w:spacing w:after="0" w:line="0" w:lineRule="atLeast"/>
              <w:ind w:left="34"/>
              <w:rPr>
                <w:rFonts w:ascii="Times New Roman" w:eastAsia="Times New Roman" w:hAnsi="Times New Roman" w:cs="Times New Roman"/>
                <w:bCs/>
                <w:lang w:eastAsia="uk-UA"/>
              </w:rPr>
            </w:pPr>
            <w:r w:rsidRPr="00073A17">
              <w:rPr>
                <w:rFonts w:ascii="Times New Roman" w:eastAsia="Times New Roman" w:hAnsi="Times New Roman" w:cs="Times New Roman"/>
                <w:bCs/>
                <w:lang w:eastAsia="uk-UA"/>
              </w:rPr>
              <w:t>Справи зі спорів з відносин публіч</w:t>
            </w:r>
            <w:r w:rsidR="00B7220F">
              <w:rPr>
                <w:rFonts w:ascii="Times New Roman" w:eastAsia="Times New Roman" w:hAnsi="Times New Roman" w:cs="Times New Roman"/>
                <w:bCs/>
                <w:lang w:eastAsia="uk-UA"/>
              </w:rPr>
              <w:t>ної служби.</w:t>
            </w:r>
          </w:p>
        </w:tc>
        <w:tc>
          <w:tcPr>
            <w:tcW w:w="760" w:type="pct"/>
          </w:tcPr>
          <w:p w:rsidR="00B65D49" w:rsidRPr="00073A17" w:rsidRDefault="005C18D2" w:rsidP="00207F89">
            <w:pPr>
              <w:widowControl w:val="0"/>
              <w:spacing w:after="0" w:line="0" w:lineRule="atLeast"/>
              <w:jc w:val="center"/>
              <w:rPr>
                <w:rFonts w:ascii="Times New Roman" w:eastAsia="Times New Roman" w:hAnsi="Times New Roman" w:cs="Times New Roman"/>
                <w:lang w:eastAsia="uk-UA"/>
              </w:rPr>
            </w:pPr>
            <w:r>
              <w:rPr>
                <w:rFonts w:ascii="Times New Roman" w:eastAsia="Times New Roman" w:hAnsi="Times New Roman" w:cs="Times New Roman"/>
                <w:lang w:eastAsia="uk-UA"/>
              </w:rPr>
              <w:t>421</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406</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Cs/>
                <w:lang w:eastAsia="uk-UA"/>
              </w:rPr>
            </w:pPr>
            <w:r>
              <w:rPr>
                <w:rFonts w:ascii="Times New Roman" w:eastAsia="Times New Roman" w:hAnsi="Times New Roman" w:cs="Times New Roman"/>
                <w:bCs/>
                <w:lang w:eastAsia="uk-UA"/>
              </w:rPr>
              <w:t>-15</w:t>
            </w:r>
          </w:p>
        </w:tc>
      </w:tr>
      <w:tr w:rsidR="00B65D49" w:rsidRPr="00073A17" w:rsidTr="00073A17">
        <w:trPr>
          <w:trHeight w:val="267"/>
        </w:trPr>
        <w:tc>
          <w:tcPr>
            <w:tcW w:w="400" w:type="pct"/>
            <w:shd w:val="clear" w:color="auto" w:fill="auto"/>
            <w:hideMark/>
          </w:tcPr>
          <w:p w:rsidR="00B65D49" w:rsidRPr="00073A17" w:rsidRDefault="00073A17" w:rsidP="00207F89">
            <w:pPr>
              <w:widowControl w:val="0"/>
              <w:shd w:val="clear" w:color="auto" w:fill="FFFFFF"/>
              <w:spacing w:after="0" w:line="0" w:lineRule="atLeast"/>
              <w:jc w:val="center"/>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13</w:t>
            </w:r>
          </w:p>
        </w:tc>
        <w:tc>
          <w:tcPr>
            <w:tcW w:w="2322" w:type="pct"/>
            <w:shd w:val="clear" w:color="auto" w:fill="auto"/>
            <w:hideMark/>
          </w:tcPr>
          <w:p w:rsidR="00B65D49" w:rsidRPr="00073A17" w:rsidRDefault="00B65D49" w:rsidP="00073A17">
            <w:pPr>
              <w:widowControl w:val="0"/>
              <w:shd w:val="clear" w:color="auto" w:fill="FFFFFF"/>
              <w:spacing w:after="0" w:line="0" w:lineRule="atLeast"/>
              <w:ind w:left="34"/>
              <w:rPr>
                <w:rFonts w:ascii="Times New Roman" w:eastAsia="Times New Roman" w:hAnsi="Times New Roman" w:cs="Times New Roman"/>
                <w:b/>
                <w:bCs/>
                <w:lang w:eastAsia="uk-UA"/>
              </w:rPr>
            </w:pPr>
            <w:r w:rsidRPr="00073A17">
              <w:rPr>
                <w:rFonts w:ascii="Times New Roman" w:eastAsia="Times New Roman" w:hAnsi="Times New Roman" w:cs="Times New Roman"/>
                <w:b/>
                <w:bCs/>
                <w:lang w:eastAsia="uk-UA"/>
              </w:rPr>
              <w:t xml:space="preserve">УСЬОГО </w:t>
            </w:r>
          </w:p>
        </w:tc>
        <w:tc>
          <w:tcPr>
            <w:tcW w:w="760" w:type="pct"/>
          </w:tcPr>
          <w:p w:rsidR="00B65D49" w:rsidRPr="00073A17" w:rsidRDefault="005C18D2" w:rsidP="00207F89">
            <w:pPr>
              <w:widowControl w:val="0"/>
              <w:spacing w:after="0" w:line="0" w:lineRule="atLeast"/>
              <w:jc w:val="center"/>
              <w:rPr>
                <w:rFonts w:ascii="Times New Roman" w:eastAsia="Times New Roman" w:hAnsi="Times New Roman" w:cs="Times New Roman"/>
                <w:b/>
                <w:lang w:eastAsia="uk-UA"/>
              </w:rPr>
            </w:pPr>
            <w:r>
              <w:rPr>
                <w:rFonts w:ascii="Times New Roman" w:eastAsia="Times New Roman" w:hAnsi="Times New Roman" w:cs="Times New Roman"/>
                <w:b/>
                <w:lang w:eastAsia="uk-UA"/>
              </w:rPr>
              <w:t>4313</w:t>
            </w:r>
          </w:p>
        </w:tc>
        <w:tc>
          <w:tcPr>
            <w:tcW w:w="760" w:type="pct"/>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4530</w:t>
            </w:r>
          </w:p>
        </w:tc>
        <w:tc>
          <w:tcPr>
            <w:tcW w:w="758" w:type="pct"/>
            <w:shd w:val="clear" w:color="auto" w:fill="auto"/>
          </w:tcPr>
          <w:p w:rsidR="00B65D49" w:rsidRPr="00073A17" w:rsidRDefault="005C18D2" w:rsidP="00207F89">
            <w:pPr>
              <w:widowControl w:val="0"/>
              <w:shd w:val="clear" w:color="auto" w:fill="FFFFFF"/>
              <w:spacing w:after="0" w:line="0" w:lineRule="atLeast"/>
              <w:ind w:left="34"/>
              <w:jc w:val="center"/>
              <w:rPr>
                <w:rFonts w:ascii="Times New Roman" w:eastAsia="Times New Roman" w:hAnsi="Times New Roman" w:cs="Times New Roman"/>
                <w:b/>
                <w:bCs/>
                <w:lang w:eastAsia="uk-UA"/>
              </w:rPr>
            </w:pPr>
            <w:r>
              <w:rPr>
                <w:rFonts w:ascii="Times New Roman" w:eastAsia="Times New Roman" w:hAnsi="Times New Roman" w:cs="Times New Roman"/>
                <w:b/>
                <w:bCs/>
                <w:lang w:eastAsia="uk-UA"/>
              </w:rPr>
              <w:t>+217</w:t>
            </w:r>
          </w:p>
        </w:tc>
      </w:tr>
    </w:tbl>
    <w:p w:rsidR="00073A17" w:rsidRDefault="00073A17"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p w:rsidR="002D1B97" w:rsidRDefault="002D1B97"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Як б</w:t>
      </w:r>
      <w:r w:rsidR="00C220DF">
        <w:rPr>
          <w:rFonts w:ascii="Times New Roman" w:eastAsia="Times New Roman" w:hAnsi="Times New Roman" w:cs="Times New Roman"/>
          <w:color w:val="000000"/>
          <w:sz w:val="24"/>
          <w:szCs w:val="24"/>
          <w:lang w:eastAsia="uk-UA" w:bidi="uk-UA"/>
        </w:rPr>
        <w:t>ачимо, в провадження суду в 2018 році надійшло на 217</w:t>
      </w:r>
      <w:r>
        <w:rPr>
          <w:rFonts w:ascii="Times New Roman" w:eastAsia="Times New Roman" w:hAnsi="Times New Roman" w:cs="Times New Roman"/>
          <w:color w:val="000000"/>
          <w:sz w:val="24"/>
          <w:szCs w:val="24"/>
          <w:lang w:eastAsia="uk-UA" w:bidi="uk-UA"/>
        </w:rPr>
        <w:t xml:space="preserve"> справ більше порівн</w:t>
      </w:r>
      <w:r w:rsidR="00C220DF">
        <w:rPr>
          <w:rFonts w:ascii="Times New Roman" w:eastAsia="Times New Roman" w:hAnsi="Times New Roman" w:cs="Times New Roman"/>
          <w:color w:val="000000"/>
          <w:sz w:val="24"/>
          <w:szCs w:val="24"/>
          <w:lang w:eastAsia="uk-UA" w:bidi="uk-UA"/>
        </w:rPr>
        <w:t>яно із аналогічним періодом 2017</w:t>
      </w:r>
      <w:r>
        <w:rPr>
          <w:rFonts w:ascii="Times New Roman" w:eastAsia="Times New Roman" w:hAnsi="Times New Roman" w:cs="Times New Roman"/>
          <w:color w:val="000000"/>
          <w:sz w:val="24"/>
          <w:szCs w:val="24"/>
          <w:lang w:eastAsia="uk-UA" w:bidi="uk-UA"/>
        </w:rPr>
        <w:t xml:space="preserve"> року</w:t>
      </w:r>
      <w:r w:rsidR="00C220DF">
        <w:rPr>
          <w:rFonts w:ascii="Times New Roman" w:eastAsia="Times New Roman" w:hAnsi="Times New Roman" w:cs="Times New Roman"/>
          <w:color w:val="000000"/>
          <w:sz w:val="24"/>
          <w:szCs w:val="24"/>
          <w:lang w:eastAsia="uk-UA" w:bidi="uk-UA"/>
        </w:rPr>
        <w:t>, що є незначним показником у порівнянні із надходження матеріалів, про що описувалось у попередньому розділі</w:t>
      </w:r>
      <w:r>
        <w:rPr>
          <w:rFonts w:ascii="Times New Roman" w:eastAsia="Times New Roman" w:hAnsi="Times New Roman" w:cs="Times New Roman"/>
          <w:color w:val="000000"/>
          <w:sz w:val="24"/>
          <w:szCs w:val="24"/>
          <w:lang w:eastAsia="uk-UA" w:bidi="uk-UA"/>
        </w:rPr>
        <w:t>.</w:t>
      </w:r>
    </w:p>
    <w:p w:rsidR="000A4024" w:rsidRPr="00661BF1" w:rsidRDefault="000A4024" w:rsidP="000A4024">
      <w:pPr>
        <w:widowControl w:val="0"/>
        <w:spacing w:after="0" w:line="0" w:lineRule="atLeast"/>
        <w:ind w:firstLine="780"/>
        <w:jc w:val="both"/>
        <w:rPr>
          <w:rFonts w:ascii="Times New Roman" w:eastAsia="Times New Roman" w:hAnsi="Times New Roman" w:cs="Times New Roman"/>
          <w:sz w:val="24"/>
          <w:szCs w:val="24"/>
          <w:lang w:eastAsia="uk-UA"/>
        </w:rPr>
      </w:pPr>
      <w:r w:rsidRPr="00661BF1">
        <w:rPr>
          <w:rFonts w:ascii="Times New Roman" w:eastAsia="Times New Roman" w:hAnsi="Times New Roman" w:cs="Times New Roman"/>
          <w:sz w:val="24"/>
          <w:szCs w:val="24"/>
          <w:lang w:eastAsia="uk-UA"/>
        </w:rPr>
        <w:t xml:space="preserve">Із наведеного можна констатувати, що найбільшу кількість становлять справи </w:t>
      </w:r>
      <w:r w:rsidRPr="000A4024">
        <w:rPr>
          <w:rFonts w:ascii="Times New Roman" w:eastAsia="Times New Roman" w:hAnsi="Times New Roman" w:cs="Times New Roman"/>
          <w:sz w:val="24"/>
          <w:szCs w:val="24"/>
          <w:lang w:eastAsia="uk-UA"/>
        </w:rPr>
        <w:t xml:space="preserve">спорів з приводу адміністрування податків, зборів, платежів, а також контролю за дотриманням </w:t>
      </w:r>
      <w:r>
        <w:rPr>
          <w:rFonts w:ascii="Times New Roman" w:eastAsia="Times New Roman" w:hAnsi="Times New Roman" w:cs="Times New Roman"/>
          <w:sz w:val="24"/>
          <w:szCs w:val="24"/>
          <w:lang w:eastAsia="uk-UA"/>
        </w:rPr>
        <w:t>вимог податкового зак</w:t>
      </w:r>
      <w:r w:rsidR="00237DCF">
        <w:rPr>
          <w:rFonts w:ascii="Times New Roman" w:eastAsia="Times New Roman" w:hAnsi="Times New Roman" w:cs="Times New Roman"/>
          <w:sz w:val="24"/>
          <w:szCs w:val="24"/>
          <w:lang w:eastAsia="uk-UA"/>
        </w:rPr>
        <w:t xml:space="preserve">онодавства – 1392 або </w:t>
      </w:r>
      <w:r>
        <w:rPr>
          <w:rFonts w:ascii="Times New Roman" w:eastAsia="Times New Roman" w:hAnsi="Times New Roman" w:cs="Times New Roman"/>
          <w:sz w:val="24"/>
          <w:szCs w:val="24"/>
          <w:lang w:eastAsia="uk-UA"/>
        </w:rPr>
        <w:t>31</w:t>
      </w:r>
      <w:r w:rsidRPr="00661BF1">
        <w:rPr>
          <w:rFonts w:ascii="Times New Roman" w:eastAsia="Times New Roman" w:hAnsi="Times New Roman" w:cs="Times New Roman"/>
          <w:sz w:val="24"/>
          <w:szCs w:val="24"/>
          <w:lang w:eastAsia="uk-UA"/>
        </w:rPr>
        <w:t xml:space="preserve"> %</w:t>
      </w:r>
      <w:r w:rsidR="00237DCF">
        <w:rPr>
          <w:rFonts w:ascii="Times New Roman" w:eastAsia="Times New Roman" w:hAnsi="Times New Roman" w:cs="Times New Roman"/>
          <w:sz w:val="24"/>
          <w:szCs w:val="24"/>
          <w:lang w:eastAsia="uk-UA"/>
        </w:rPr>
        <w:t xml:space="preserve"> від загальної кількості 4530 справ</w:t>
      </w:r>
      <w:r w:rsidRPr="00661BF1">
        <w:rPr>
          <w:rFonts w:ascii="Times New Roman" w:eastAsia="Times New Roman" w:hAnsi="Times New Roman" w:cs="Times New Roman"/>
          <w:sz w:val="24"/>
          <w:szCs w:val="24"/>
          <w:lang w:eastAsia="uk-UA"/>
        </w:rPr>
        <w:t>.</w:t>
      </w:r>
    </w:p>
    <w:p w:rsidR="000A4024" w:rsidRPr="00661BF1" w:rsidRDefault="000A4024" w:rsidP="000A4024">
      <w:pPr>
        <w:widowControl w:val="0"/>
        <w:spacing w:after="0" w:line="0" w:lineRule="atLeast"/>
        <w:ind w:firstLine="780"/>
        <w:jc w:val="both"/>
        <w:rPr>
          <w:rFonts w:ascii="Times New Roman" w:eastAsia="Times New Roman" w:hAnsi="Times New Roman" w:cs="Times New Roman"/>
          <w:bCs/>
          <w:sz w:val="24"/>
          <w:szCs w:val="24"/>
          <w:lang w:eastAsia="uk-UA"/>
        </w:rPr>
      </w:pPr>
      <w:r w:rsidRPr="00661BF1">
        <w:rPr>
          <w:rFonts w:ascii="Times New Roman" w:eastAsia="Times New Roman" w:hAnsi="Times New Roman" w:cs="Times New Roman"/>
          <w:sz w:val="24"/>
          <w:szCs w:val="24"/>
          <w:lang w:eastAsia="uk-UA"/>
        </w:rPr>
        <w:lastRenderedPageBreak/>
        <w:t xml:space="preserve">Другими за значенням є справи </w:t>
      </w:r>
      <w:r w:rsidRPr="00661BF1">
        <w:rPr>
          <w:rFonts w:ascii="Times New Roman" w:eastAsia="Times New Roman" w:hAnsi="Times New Roman" w:cs="Times New Roman"/>
          <w:bCs/>
          <w:sz w:val="24"/>
          <w:szCs w:val="24"/>
          <w:lang w:eastAsia="uk-UA"/>
        </w:rPr>
        <w:t>з</w:t>
      </w:r>
      <w:r>
        <w:rPr>
          <w:rFonts w:ascii="Times New Roman" w:eastAsia="Times New Roman" w:hAnsi="Times New Roman" w:cs="Times New Roman"/>
          <w:bCs/>
          <w:sz w:val="24"/>
          <w:szCs w:val="24"/>
          <w:lang w:eastAsia="uk-UA"/>
        </w:rPr>
        <w:t>і спорів</w:t>
      </w:r>
      <w:r w:rsidRPr="000A4024">
        <w:rPr>
          <w:rFonts w:ascii="Times New Roman" w:eastAsia="Times New Roman" w:hAnsi="Times New Roman" w:cs="Times New Roman"/>
          <w:bCs/>
          <w:sz w:val="24"/>
          <w:szCs w:val="24"/>
          <w:lang w:eastAsia="uk-UA"/>
        </w:rPr>
        <w:t xml:space="preserve"> з приводу реалізації публічної політики у сферах праці, зайнятості населення та соціального захисту громадян та спорів у сф</w:t>
      </w:r>
      <w:r>
        <w:rPr>
          <w:rFonts w:ascii="Times New Roman" w:eastAsia="Times New Roman" w:hAnsi="Times New Roman" w:cs="Times New Roman"/>
          <w:bCs/>
          <w:sz w:val="24"/>
          <w:szCs w:val="24"/>
          <w:lang w:eastAsia="uk-UA"/>
        </w:rPr>
        <w:t>ері публічної жи</w:t>
      </w:r>
      <w:r w:rsidR="00237DCF">
        <w:rPr>
          <w:rFonts w:ascii="Times New Roman" w:eastAsia="Times New Roman" w:hAnsi="Times New Roman" w:cs="Times New Roman"/>
          <w:bCs/>
          <w:sz w:val="24"/>
          <w:szCs w:val="24"/>
          <w:lang w:eastAsia="uk-UA"/>
        </w:rPr>
        <w:t xml:space="preserve">тлової політики – 1244 або </w:t>
      </w:r>
      <w:r>
        <w:rPr>
          <w:rFonts w:ascii="Times New Roman" w:eastAsia="Times New Roman" w:hAnsi="Times New Roman" w:cs="Times New Roman"/>
          <w:bCs/>
          <w:sz w:val="24"/>
          <w:szCs w:val="24"/>
          <w:lang w:eastAsia="uk-UA"/>
        </w:rPr>
        <w:t>27</w:t>
      </w:r>
      <w:r w:rsidRPr="00661BF1">
        <w:rPr>
          <w:rFonts w:ascii="Times New Roman" w:eastAsia="Times New Roman" w:hAnsi="Times New Roman" w:cs="Times New Roman"/>
          <w:bCs/>
          <w:sz w:val="24"/>
          <w:szCs w:val="24"/>
          <w:lang w:eastAsia="uk-UA"/>
        </w:rPr>
        <w:t xml:space="preserve"> %</w:t>
      </w:r>
      <w:r w:rsidR="00237DCF">
        <w:rPr>
          <w:rFonts w:ascii="Times New Roman" w:eastAsia="Times New Roman" w:hAnsi="Times New Roman" w:cs="Times New Roman"/>
          <w:bCs/>
          <w:sz w:val="24"/>
          <w:szCs w:val="24"/>
          <w:lang w:eastAsia="uk-UA"/>
        </w:rPr>
        <w:t xml:space="preserve"> від загальної кількості 4530 справ</w:t>
      </w:r>
      <w:r w:rsidRPr="00661BF1">
        <w:rPr>
          <w:rFonts w:ascii="Times New Roman" w:eastAsia="Times New Roman" w:hAnsi="Times New Roman" w:cs="Times New Roman"/>
          <w:bCs/>
          <w:sz w:val="24"/>
          <w:szCs w:val="24"/>
          <w:lang w:eastAsia="uk-UA"/>
        </w:rPr>
        <w:t>.</w:t>
      </w:r>
    </w:p>
    <w:p w:rsidR="000A4024" w:rsidRPr="000A4024" w:rsidRDefault="000A4024" w:rsidP="000A4024">
      <w:pPr>
        <w:widowControl w:val="0"/>
        <w:spacing w:after="0" w:line="0" w:lineRule="atLeast"/>
        <w:ind w:firstLine="780"/>
        <w:jc w:val="both"/>
        <w:rPr>
          <w:rFonts w:ascii="Times New Roman" w:eastAsia="Times New Roman" w:hAnsi="Times New Roman" w:cs="Times New Roman"/>
          <w:sz w:val="24"/>
          <w:szCs w:val="24"/>
          <w:lang w:eastAsia="uk-UA"/>
        </w:rPr>
      </w:pPr>
      <w:r w:rsidRPr="00661BF1">
        <w:rPr>
          <w:rFonts w:ascii="Times New Roman" w:eastAsia="Times New Roman" w:hAnsi="Times New Roman" w:cs="Times New Roman"/>
          <w:bCs/>
          <w:sz w:val="24"/>
          <w:szCs w:val="24"/>
          <w:lang w:eastAsia="uk-UA"/>
        </w:rPr>
        <w:t xml:space="preserve">Третіми </w:t>
      </w:r>
      <w:r>
        <w:rPr>
          <w:rFonts w:ascii="Times New Roman" w:eastAsia="Times New Roman" w:hAnsi="Times New Roman" w:cs="Times New Roman"/>
          <w:bCs/>
          <w:sz w:val="24"/>
          <w:szCs w:val="24"/>
          <w:lang w:eastAsia="uk-UA"/>
        </w:rPr>
        <w:t xml:space="preserve">за кількістю </w:t>
      </w:r>
      <w:r w:rsidRPr="00661BF1">
        <w:rPr>
          <w:rFonts w:ascii="Times New Roman" w:eastAsia="Times New Roman" w:hAnsi="Times New Roman" w:cs="Times New Roman"/>
          <w:bCs/>
          <w:sz w:val="24"/>
          <w:szCs w:val="24"/>
          <w:lang w:eastAsia="uk-UA"/>
        </w:rPr>
        <w:t xml:space="preserve">є справи зі </w:t>
      </w:r>
      <w:r w:rsidRPr="000A4024">
        <w:rPr>
          <w:rFonts w:ascii="Times New Roman" w:eastAsia="Times New Roman" w:hAnsi="Times New Roman" w:cs="Times New Roman"/>
          <w:bCs/>
          <w:sz w:val="24"/>
          <w:szCs w:val="24"/>
          <w:lang w:eastAsia="uk-UA"/>
        </w:rPr>
        <w:t>спорів з приводу забезпечення сталого розвитку населен</w:t>
      </w:r>
      <w:r>
        <w:rPr>
          <w:rFonts w:ascii="Times New Roman" w:eastAsia="Times New Roman" w:hAnsi="Times New Roman" w:cs="Times New Roman"/>
          <w:bCs/>
          <w:sz w:val="24"/>
          <w:szCs w:val="24"/>
          <w:lang w:eastAsia="uk-UA"/>
        </w:rPr>
        <w:t>их пунктів та з</w:t>
      </w:r>
      <w:r w:rsidR="00237DCF">
        <w:rPr>
          <w:rFonts w:ascii="Times New Roman" w:eastAsia="Times New Roman" w:hAnsi="Times New Roman" w:cs="Times New Roman"/>
          <w:bCs/>
          <w:sz w:val="24"/>
          <w:szCs w:val="24"/>
          <w:lang w:eastAsia="uk-UA"/>
        </w:rPr>
        <w:t xml:space="preserve">емлекористування – 544 або </w:t>
      </w:r>
      <w:r>
        <w:rPr>
          <w:rFonts w:ascii="Times New Roman" w:eastAsia="Times New Roman" w:hAnsi="Times New Roman" w:cs="Times New Roman"/>
          <w:bCs/>
          <w:sz w:val="24"/>
          <w:szCs w:val="24"/>
          <w:lang w:eastAsia="uk-UA"/>
        </w:rPr>
        <w:t>12</w:t>
      </w:r>
      <w:r w:rsidRPr="00661BF1">
        <w:rPr>
          <w:rFonts w:ascii="Times New Roman" w:eastAsia="Times New Roman" w:hAnsi="Times New Roman" w:cs="Times New Roman"/>
          <w:bCs/>
          <w:sz w:val="24"/>
          <w:szCs w:val="24"/>
          <w:lang w:eastAsia="uk-UA"/>
        </w:rPr>
        <w:t xml:space="preserve"> %</w:t>
      </w:r>
      <w:r w:rsidR="00237DCF">
        <w:rPr>
          <w:rFonts w:ascii="Times New Roman" w:eastAsia="Times New Roman" w:hAnsi="Times New Roman" w:cs="Times New Roman"/>
          <w:bCs/>
          <w:sz w:val="24"/>
          <w:szCs w:val="24"/>
          <w:lang w:eastAsia="uk-UA"/>
        </w:rPr>
        <w:t xml:space="preserve"> від загальної кількості 4530 справ</w:t>
      </w:r>
      <w:r w:rsidRPr="00661BF1">
        <w:rPr>
          <w:rFonts w:ascii="Times New Roman" w:eastAsia="Times New Roman" w:hAnsi="Times New Roman" w:cs="Times New Roman"/>
          <w:bCs/>
          <w:sz w:val="24"/>
          <w:szCs w:val="24"/>
          <w:lang w:eastAsia="uk-UA"/>
        </w:rPr>
        <w:t>.</w:t>
      </w:r>
    </w:p>
    <w:p w:rsidR="00AA6949" w:rsidRDefault="0067674F"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sidRPr="00661BF1">
        <w:rPr>
          <w:rFonts w:ascii="Times New Roman" w:eastAsia="Times New Roman" w:hAnsi="Times New Roman" w:cs="Times New Roman"/>
          <w:color w:val="000000"/>
          <w:sz w:val="24"/>
          <w:szCs w:val="24"/>
          <w:lang w:eastAsia="uk-UA" w:bidi="uk-UA"/>
        </w:rPr>
        <w:t xml:space="preserve">У звітному році </w:t>
      </w:r>
      <w:r w:rsidR="00AA6949">
        <w:rPr>
          <w:rFonts w:ascii="Times New Roman" w:eastAsia="Times New Roman" w:hAnsi="Times New Roman" w:cs="Times New Roman"/>
          <w:color w:val="000000"/>
          <w:sz w:val="24"/>
          <w:szCs w:val="24"/>
          <w:lang w:eastAsia="uk-UA" w:bidi="uk-UA"/>
        </w:rPr>
        <w:t>прослідковується</w:t>
      </w:r>
      <w:r w:rsidR="00A27B90" w:rsidRPr="00661BF1">
        <w:rPr>
          <w:rFonts w:ascii="Times New Roman" w:eastAsia="Times New Roman" w:hAnsi="Times New Roman" w:cs="Times New Roman"/>
          <w:color w:val="000000"/>
          <w:sz w:val="24"/>
          <w:szCs w:val="24"/>
          <w:lang w:eastAsia="uk-UA" w:bidi="uk-UA"/>
        </w:rPr>
        <w:t xml:space="preserve"> збільшилась кількість справ</w:t>
      </w:r>
      <w:r w:rsidR="00AA6949">
        <w:rPr>
          <w:rFonts w:ascii="Times New Roman" w:eastAsia="Times New Roman" w:hAnsi="Times New Roman" w:cs="Times New Roman"/>
          <w:color w:val="000000"/>
          <w:sz w:val="24"/>
          <w:szCs w:val="24"/>
          <w:lang w:eastAsia="uk-UA" w:bidi="uk-UA"/>
        </w:rPr>
        <w:t>:</w:t>
      </w:r>
    </w:p>
    <w:p w:rsidR="002D1B97" w:rsidRDefault="00AA6949" w:rsidP="00207F89">
      <w:pPr>
        <w:widowControl w:val="0"/>
        <w:spacing w:after="0" w:line="0" w:lineRule="atLeast"/>
        <w:ind w:firstLine="780"/>
        <w:jc w:val="both"/>
        <w:rPr>
          <w:rFonts w:ascii="Times New Roman" w:eastAsia="Times New Roman" w:hAnsi="Times New Roman" w:cs="Times New Roman"/>
          <w:iCs/>
          <w:sz w:val="24"/>
          <w:szCs w:val="24"/>
          <w:lang w:eastAsia="uk-UA"/>
        </w:rPr>
      </w:pPr>
      <w:r>
        <w:rPr>
          <w:rFonts w:ascii="Times New Roman" w:eastAsia="Times New Roman" w:hAnsi="Times New Roman" w:cs="Times New Roman"/>
          <w:color w:val="000000"/>
          <w:sz w:val="24"/>
          <w:szCs w:val="24"/>
          <w:lang w:eastAsia="uk-UA" w:bidi="uk-UA"/>
        </w:rPr>
        <w:t>-</w:t>
      </w:r>
      <w:r w:rsidR="00A27B90" w:rsidRPr="00661BF1">
        <w:rPr>
          <w:rFonts w:ascii="Times New Roman" w:eastAsia="Times New Roman" w:hAnsi="Times New Roman" w:cs="Times New Roman"/>
          <w:color w:val="000000"/>
          <w:sz w:val="24"/>
          <w:szCs w:val="24"/>
          <w:lang w:eastAsia="uk-UA" w:bidi="uk-UA"/>
        </w:rPr>
        <w:t xml:space="preserve"> зі спорів </w:t>
      </w:r>
      <w:r w:rsidR="00C81E95">
        <w:rPr>
          <w:rFonts w:ascii="Times New Roman" w:eastAsia="Times New Roman" w:hAnsi="Times New Roman" w:cs="Times New Roman"/>
          <w:bCs/>
          <w:iCs/>
          <w:sz w:val="24"/>
          <w:szCs w:val="24"/>
          <w:lang w:eastAsia="uk-UA"/>
        </w:rPr>
        <w:t xml:space="preserve">щодо стягнення </w:t>
      </w:r>
      <w:r>
        <w:rPr>
          <w:rFonts w:ascii="Times New Roman" w:eastAsia="Times New Roman" w:hAnsi="Times New Roman" w:cs="Times New Roman"/>
          <w:bCs/>
          <w:iCs/>
          <w:sz w:val="24"/>
          <w:szCs w:val="24"/>
          <w:lang w:eastAsia="uk-UA"/>
        </w:rPr>
        <w:t>податкового б</w:t>
      </w:r>
      <w:r w:rsidR="00BD7627">
        <w:rPr>
          <w:rFonts w:ascii="Times New Roman" w:eastAsia="Times New Roman" w:hAnsi="Times New Roman" w:cs="Times New Roman"/>
          <w:bCs/>
          <w:iCs/>
          <w:sz w:val="24"/>
          <w:szCs w:val="24"/>
          <w:lang w:eastAsia="uk-UA"/>
        </w:rPr>
        <w:t>оргу  за зверненням органів фіскальної служба до фізичних осіб - підприємців</w:t>
      </w:r>
      <w:r>
        <w:rPr>
          <w:rFonts w:ascii="Times New Roman" w:eastAsia="Times New Roman" w:hAnsi="Times New Roman" w:cs="Times New Roman"/>
          <w:bCs/>
          <w:iCs/>
          <w:sz w:val="24"/>
          <w:szCs w:val="24"/>
          <w:lang w:eastAsia="uk-UA"/>
        </w:rPr>
        <w:t xml:space="preserve">. </w:t>
      </w:r>
      <w:r w:rsidR="00A2168C" w:rsidRPr="00661BF1">
        <w:rPr>
          <w:rFonts w:ascii="Times New Roman" w:eastAsia="Times New Roman" w:hAnsi="Times New Roman" w:cs="Times New Roman"/>
          <w:iCs/>
          <w:sz w:val="24"/>
          <w:szCs w:val="24"/>
          <w:lang w:eastAsia="uk-UA"/>
        </w:rPr>
        <w:t>К</w:t>
      </w:r>
      <w:r>
        <w:rPr>
          <w:rFonts w:ascii="Times New Roman" w:eastAsia="Times New Roman" w:hAnsi="Times New Roman" w:cs="Times New Roman"/>
          <w:iCs/>
          <w:sz w:val="24"/>
          <w:szCs w:val="24"/>
          <w:lang w:eastAsia="uk-UA"/>
        </w:rPr>
        <w:t>ількість таких справ у 2018 році становить 539, що у 1,4 рази більше</w:t>
      </w:r>
      <w:r w:rsidR="00A27B90" w:rsidRPr="00661BF1">
        <w:rPr>
          <w:rFonts w:ascii="Times New Roman" w:eastAsia="Times New Roman" w:hAnsi="Times New Roman" w:cs="Times New Roman"/>
          <w:iCs/>
          <w:sz w:val="24"/>
          <w:szCs w:val="24"/>
          <w:lang w:eastAsia="uk-UA"/>
        </w:rPr>
        <w:t>, ніж у відповідному пе</w:t>
      </w:r>
      <w:r>
        <w:rPr>
          <w:rFonts w:ascii="Times New Roman" w:eastAsia="Times New Roman" w:hAnsi="Times New Roman" w:cs="Times New Roman"/>
          <w:iCs/>
          <w:sz w:val="24"/>
          <w:szCs w:val="24"/>
          <w:lang w:eastAsia="uk-UA"/>
        </w:rPr>
        <w:t>ріоді 2017 року (372</w:t>
      </w:r>
      <w:r w:rsidR="00BD7627">
        <w:rPr>
          <w:rFonts w:ascii="Times New Roman" w:eastAsia="Times New Roman" w:hAnsi="Times New Roman" w:cs="Times New Roman"/>
          <w:iCs/>
          <w:sz w:val="24"/>
          <w:szCs w:val="24"/>
          <w:lang w:eastAsia="uk-UA"/>
        </w:rPr>
        <w:t>)</w:t>
      </w:r>
      <w:r>
        <w:rPr>
          <w:rFonts w:ascii="Times New Roman" w:eastAsia="Times New Roman" w:hAnsi="Times New Roman" w:cs="Times New Roman"/>
          <w:iCs/>
          <w:sz w:val="24"/>
          <w:szCs w:val="24"/>
          <w:lang w:eastAsia="uk-UA"/>
        </w:rPr>
        <w:t>.</w:t>
      </w:r>
    </w:p>
    <w:p w:rsidR="00AA6949" w:rsidRDefault="00AA6949" w:rsidP="00207F89">
      <w:pPr>
        <w:widowControl w:val="0"/>
        <w:spacing w:after="0" w:line="0" w:lineRule="atLeast"/>
        <w:ind w:firstLine="780"/>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 зі спорів щод</w:t>
      </w:r>
      <w:r w:rsidR="00BD7627">
        <w:rPr>
          <w:rFonts w:ascii="Times New Roman" w:eastAsia="Times New Roman" w:hAnsi="Times New Roman" w:cs="Times New Roman"/>
          <w:iCs/>
          <w:sz w:val="24"/>
          <w:szCs w:val="24"/>
          <w:lang w:eastAsia="uk-UA"/>
        </w:rPr>
        <w:t xml:space="preserve">о землеустрою за позовами фізичних осіб до органів </w:t>
      </w:r>
      <w:proofErr w:type="spellStart"/>
      <w:r w:rsidR="00BD7627">
        <w:rPr>
          <w:rFonts w:ascii="Times New Roman" w:eastAsia="Times New Roman" w:hAnsi="Times New Roman" w:cs="Times New Roman"/>
          <w:iCs/>
          <w:sz w:val="24"/>
          <w:szCs w:val="24"/>
          <w:lang w:eastAsia="uk-UA"/>
        </w:rPr>
        <w:t>Держгеокадастру</w:t>
      </w:r>
      <w:proofErr w:type="spellEnd"/>
      <w:r w:rsidR="00BD7627">
        <w:rPr>
          <w:rFonts w:ascii="Times New Roman" w:eastAsia="Times New Roman" w:hAnsi="Times New Roman" w:cs="Times New Roman"/>
          <w:iCs/>
          <w:sz w:val="24"/>
          <w:szCs w:val="24"/>
          <w:lang w:eastAsia="uk-UA"/>
        </w:rPr>
        <w:t xml:space="preserve"> про надання дозволу на виготовлення проекту землеустрою</w:t>
      </w:r>
      <w:r>
        <w:rPr>
          <w:rFonts w:ascii="Times New Roman" w:eastAsia="Times New Roman" w:hAnsi="Times New Roman" w:cs="Times New Roman"/>
          <w:bCs/>
          <w:iCs/>
          <w:sz w:val="24"/>
          <w:szCs w:val="24"/>
          <w:lang w:eastAsia="uk-UA"/>
        </w:rPr>
        <w:t xml:space="preserve">. </w:t>
      </w:r>
      <w:r w:rsidRPr="00661BF1">
        <w:rPr>
          <w:rFonts w:ascii="Times New Roman" w:eastAsia="Times New Roman" w:hAnsi="Times New Roman" w:cs="Times New Roman"/>
          <w:iCs/>
          <w:sz w:val="24"/>
          <w:szCs w:val="24"/>
          <w:lang w:eastAsia="uk-UA"/>
        </w:rPr>
        <w:t>К</w:t>
      </w:r>
      <w:r>
        <w:rPr>
          <w:rFonts w:ascii="Times New Roman" w:eastAsia="Times New Roman" w:hAnsi="Times New Roman" w:cs="Times New Roman"/>
          <w:iCs/>
          <w:sz w:val="24"/>
          <w:szCs w:val="24"/>
          <w:lang w:eastAsia="uk-UA"/>
        </w:rPr>
        <w:t>ількість таких справ у 2018 році становить 284, що у 2,3 рази</w:t>
      </w:r>
      <w:r w:rsidRPr="00661BF1">
        <w:rPr>
          <w:rFonts w:ascii="Times New Roman" w:eastAsia="Times New Roman" w:hAnsi="Times New Roman" w:cs="Times New Roman"/>
          <w:iCs/>
          <w:sz w:val="24"/>
          <w:szCs w:val="24"/>
          <w:lang w:eastAsia="uk-UA"/>
        </w:rPr>
        <w:t xml:space="preserve"> більше, ніж у відповідному пе</w:t>
      </w:r>
      <w:r>
        <w:rPr>
          <w:rFonts w:ascii="Times New Roman" w:eastAsia="Times New Roman" w:hAnsi="Times New Roman" w:cs="Times New Roman"/>
          <w:iCs/>
          <w:sz w:val="24"/>
          <w:szCs w:val="24"/>
          <w:lang w:eastAsia="uk-UA"/>
        </w:rPr>
        <w:t>ріоді 2017 року (126</w:t>
      </w:r>
      <w:r w:rsidR="00BD7627">
        <w:rPr>
          <w:rFonts w:ascii="Times New Roman" w:eastAsia="Times New Roman" w:hAnsi="Times New Roman" w:cs="Times New Roman"/>
          <w:iCs/>
          <w:sz w:val="24"/>
          <w:szCs w:val="24"/>
          <w:lang w:eastAsia="uk-UA"/>
        </w:rPr>
        <w:t>)</w:t>
      </w:r>
      <w:r>
        <w:rPr>
          <w:rFonts w:ascii="Times New Roman" w:eastAsia="Times New Roman" w:hAnsi="Times New Roman" w:cs="Times New Roman"/>
          <w:iCs/>
          <w:sz w:val="24"/>
          <w:szCs w:val="24"/>
          <w:lang w:eastAsia="uk-UA"/>
        </w:rPr>
        <w:t>.</w:t>
      </w:r>
    </w:p>
    <w:p w:rsidR="00F57AAE" w:rsidRPr="00B82E42" w:rsidRDefault="00AA6949" w:rsidP="00B82E42">
      <w:pPr>
        <w:widowControl w:val="0"/>
        <w:spacing w:after="0" w:line="0" w:lineRule="atLeast"/>
        <w:ind w:firstLine="780"/>
        <w:jc w:val="both"/>
        <w:rPr>
          <w:rFonts w:ascii="Times New Roman" w:eastAsia="Times New Roman" w:hAnsi="Times New Roman" w:cs="Times New Roman"/>
          <w:iCs/>
          <w:sz w:val="24"/>
          <w:szCs w:val="24"/>
          <w:lang w:eastAsia="uk-UA"/>
        </w:rPr>
      </w:pPr>
      <w:r>
        <w:rPr>
          <w:rFonts w:ascii="Times New Roman" w:eastAsia="Times New Roman" w:hAnsi="Times New Roman" w:cs="Times New Roman"/>
          <w:iCs/>
          <w:sz w:val="24"/>
          <w:szCs w:val="24"/>
          <w:lang w:eastAsia="uk-UA"/>
        </w:rPr>
        <w:t xml:space="preserve">- зі спорів щодо </w:t>
      </w:r>
      <w:r w:rsidR="00B82E42">
        <w:rPr>
          <w:rFonts w:ascii="Times New Roman" w:eastAsia="Times New Roman" w:hAnsi="Times New Roman" w:cs="Times New Roman"/>
          <w:iCs/>
          <w:sz w:val="24"/>
          <w:szCs w:val="24"/>
          <w:lang w:eastAsia="uk-UA"/>
        </w:rPr>
        <w:t>реалізації конституційних прав</w:t>
      </w:r>
      <w:r>
        <w:rPr>
          <w:rFonts w:ascii="Times New Roman" w:eastAsia="Times New Roman" w:hAnsi="Times New Roman" w:cs="Times New Roman"/>
          <w:iCs/>
          <w:sz w:val="24"/>
          <w:szCs w:val="24"/>
          <w:lang w:eastAsia="uk-UA"/>
        </w:rPr>
        <w:t xml:space="preserve"> </w:t>
      </w:r>
      <w:r w:rsidR="00BD7627">
        <w:rPr>
          <w:rFonts w:ascii="Times New Roman" w:eastAsia="Times New Roman" w:hAnsi="Times New Roman" w:cs="Times New Roman"/>
          <w:bCs/>
          <w:iCs/>
          <w:sz w:val="24"/>
          <w:szCs w:val="24"/>
          <w:lang w:eastAsia="uk-UA"/>
        </w:rPr>
        <w:t>за позовами фізичних осіб до органів місцевого самоврядування щодо оскарження рішень, дій або бездіяльності</w:t>
      </w:r>
      <w:r w:rsidR="00237DCF">
        <w:rPr>
          <w:rFonts w:ascii="Times New Roman" w:eastAsia="Times New Roman" w:hAnsi="Times New Roman" w:cs="Times New Roman"/>
          <w:bCs/>
          <w:iCs/>
          <w:sz w:val="24"/>
          <w:szCs w:val="24"/>
          <w:lang w:eastAsia="uk-UA"/>
        </w:rPr>
        <w:t xml:space="preserve"> цих органів</w:t>
      </w:r>
      <w:r>
        <w:rPr>
          <w:rFonts w:ascii="Times New Roman" w:eastAsia="Times New Roman" w:hAnsi="Times New Roman" w:cs="Times New Roman"/>
          <w:bCs/>
          <w:iCs/>
          <w:sz w:val="24"/>
          <w:szCs w:val="24"/>
          <w:lang w:eastAsia="uk-UA"/>
        </w:rPr>
        <w:t xml:space="preserve">. </w:t>
      </w:r>
      <w:r w:rsidRPr="00661BF1">
        <w:rPr>
          <w:rFonts w:ascii="Times New Roman" w:eastAsia="Times New Roman" w:hAnsi="Times New Roman" w:cs="Times New Roman"/>
          <w:iCs/>
          <w:sz w:val="24"/>
          <w:szCs w:val="24"/>
          <w:lang w:eastAsia="uk-UA"/>
        </w:rPr>
        <w:t>К</w:t>
      </w:r>
      <w:r>
        <w:rPr>
          <w:rFonts w:ascii="Times New Roman" w:eastAsia="Times New Roman" w:hAnsi="Times New Roman" w:cs="Times New Roman"/>
          <w:iCs/>
          <w:sz w:val="24"/>
          <w:szCs w:val="24"/>
          <w:lang w:eastAsia="uk-UA"/>
        </w:rPr>
        <w:t>ількість таких</w:t>
      </w:r>
      <w:r w:rsidR="00B82E42">
        <w:rPr>
          <w:rFonts w:ascii="Times New Roman" w:eastAsia="Times New Roman" w:hAnsi="Times New Roman" w:cs="Times New Roman"/>
          <w:iCs/>
          <w:sz w:val="24"/>
          <w:szCs w:val="24"/>
          <w:lang w:eastAsia="uk-UA"/>
        </w:rPr>
        <w:t xml:space="preserve"> справ у 2018 році становить 108</w:t>
      </w:r>
      <w:r>
        <w:rPr>
          <w:rFonts w:ascii="Times New Roman" w:eastAsia="Times New Roman" w:hAnsi="Times New Roman" w:cs="Times New Roman"/>
          <w:iCs/>
          <w:sz w:val="24"/>
          <w:szCs w:val="24"/>
          <w:lang w:eastAsia="uk-UA"/>
        </w:rPr>
        <w:t xml:space="preserve">, що </w:t>
      </w:r>
      <w:r w:rsidR="00B82E42">
        <w:rPr>
          <w:rFonts w:ascii="Times New Roman" w:eastAsia="Times New Roman" w:hAnsi="Times New Roman" w:cs="Times New Roman"/>
          <w:iCs/>
          <w:sz w:val="24"/>
          <w:szCs w:val="24"/>
          <w:lang w:eastAsia="uk-UA"/>
        </w:rPr>
        <w:t>у 2,4</w:t>
      </w:r>
      <w:r>
        <w:rPr>
          <w:rFonts w:ascii="Times New Roman" w:eastAsia="Times New Roman" w:hAnsi="Times New Roman" w:cs="Times New Roman"/>
          <w:iCs/>
          <w:sz w:val="24"/>
          <w:szCs w:val="24"/>
          <w:lang w:eastAsia="uk-UA"/>
        </w:rPr>
        <w:t xml:space="preserve"> рази</w:t>
      </w:r>
      <w:r w:rsidRPr="00661BF1">
        <w:rPr>
          <w:rFonts w:ascii="Times New Roman" w:eastAsia="Times New Roman" w:hAnsi="Times New Roman" w:cs="Times New Roman"/>
          <w:iCs/>
          <w:sz w:val="24"/>
          <w:szCs w:val="24"/>
          <w:lang w:eastAsia="uk-UA"/>
        </w:rPr>
        <w:t xml:space="preserve"> більше, ніж у відповідному пе</w:t>
      </w:r>
      <w:r w:rsidR="00B82E42">
        <w:rPr>
          <w:rFonts w:ascii="Times New Roman" w:eastAsia="Times New Roman" w:hAnsi="Times New Roman" w:cs="Times New Roman"/>
          <w:iCs/>
          <w:sz w:val="24"/>
          <w:szCs w:val="24"/>
          <w:lang w:eastAsia="uk-UA"/>
        </w:rPr>
        <w:t>ріоді 2017 року (45</w:t>
      </w:r>
      <w:r w:rsidR="00BD7627">
        <w:rPr>
          <w:rFonts w:ascii="Times New Roman" w:eastAsia="Times New Roman" w:hAnsi="Times New Roman" w:cs="Times New Roman"/>
          <w:iCs/>
          <w:sz w:val="24"/>
          <w:szCs w:val="24"/>
          <w:lang w:eastAsia="uk-UA"/>
        </w:rPr>
        <w:t>)</w:t>
      </w:r>
      <w:r>
        <w:rPr>
          <w:rFonts w:ascii="Times New Roman" w:eastAsia="Times New Roman" w:hAnsi="Times New Roman" w:cs="Times New Roman"/>
          <w:iCs/>
          <w:sz w:val="24"/>
          <w:szCs w:val="24"/>
          <w:lang w:eastAsia="uk-UA"/>
        </w:rPr>
        <w:t>.</w:t>
      </w:r>
    </w:p>
    <w:p w:rsidR="002D1B97" w:rsidRDefault="0080731B" w:rsidP="00207F89">
      <w:pPr>
        <w:widowControl w:val="0"/>
        <w:spacing w:after="0" w:line="0" w:lineRule="atLeast"/>
        <w:ind w:firstLine="780"/>
        <w:jc w:val="both"/>
        <w:rPr>
          <w:rFonts w:ascii="Times New Roman" w:eastAsia="Times New Roman" w:hAnsi="Times New Roman" w:cs="Times New Roman"/>
          <w:iCs/>
          <w:sz w:val="24"/>
          <w:szCs w:val="24"/>
          <w:lang w:eastAsia="uk-UA"/>
        </w:rPr>
      </w:pPr>
      <w:r w:rsidRPr="00661BF1">
        <w:rPr>
          <w:rFonts w:ascii="Times New Roman" w:eastAsia="Times New Roman" w:hAnsi="Times New Roman" w:cs="Times New Roman"/>
          <w:color w:val="000000"/>
          <w:sz w:val="24"/>
          <w:szCs w:val="24"/>
          <w:lang w:eastAsia="uk-UA" w:bidi="uk-UA"/>
        </w:rPr>
        <w:t xml:space="preserve">Значно зменшилась у звітному періоді кількість справ </w:t>
      </w:r>
      <w:r w:rsidRPr="00661BF1">
        <w:rPr>
          <w:rFonts w:ascii="Times New Roman" w:eastAsia="Times New Roman" w:hAnsi="Times New Roman" w:cs="Times New Roman"/>
          <w:bCs/>
          <w:sz w:val="24"/>
          <w:szCs w:val="24"/>
          <w:lang w:eastAsia="uk-UA"/>
        </w:rPr>
        <w:t xml:space="preserve">зі спорів з приводу </w:t>
      </w:r>
      <w:r w:rsidR="003A7A9E">
        <w:rPr>
          <w:rFonts w:ascii="Times New Roman" w:eastAsia="Times New Roman" w:hAnsi="Times New Roman" w:cs="Times New Roman"/>
          <w:bCs/>
          <w:sz w:val="24"/>
          <w:szCs w:val="24"/>
          <w:lang w:eastAsia="uk-UA"/>
        </w:rPr>
        <w:t>загальнообов’язкового пенсійного страхування</w:t>
      </w:r>
      <w:r w:rsidRPr="00661BF1">
        <w:rPr>
          <w:rFonts w:ascii="Times New Roman" w:eastAsia="Times New Roman" w:hAnsi="Times New Roman" w:cs="Times New Roman"/>
          <w:bCs/>
          <w:iCs/>
          <w:sz w:val="24"/>
          <w:szCs w:val="24"/>
          <w:lang w:eastAsia="uk-UA"/>
        </w:rPr>
        <w:t xml:space="preserve">. </w:t>
      </w:r>
      <w:r w:rsidR="003A7A9E">
        <w:rPr>
          <w:rFonts w:ascii="Times New Roman" w:eastAsia="Times New Roman" w:hAnsi="Times New Roman" w:cs="Times New Roman"/>
          <w:iCs/>
          <w:sz w:val="24"/>
          <w:szCs w:val="24"/>
          <w:lang w:eastAsia="uk-UA"/>
        </w:rPr>
        <w:t>Кількість таких справ у 2018 році становить 993, що 1,5 рази</w:t>
      </w:r>
      <w:r w:rsidRPr="00661BF1">
        <w:rPr>
          <w:rFonts w:ascii="Times New Roman" w:eastAsia="Times New Roman" w:hAnsi="Times New Roman" w:cs="Times New Roman"/>
          <w:iCs/>
          <w:sz w:val="24"/>
          <w:szCs w:val="24"/>
          <w:lang w:eastAsia="uk-UA"/>
        </w:rPr>
        <w:t xml:space="preserve"> менше,</w:t>
      </w:r>
      <w:r w:rsidR="003A7A9E">
        <w:rPr>
          <w:rFonts w:ascii="Times New Roman" w:eastAsia="Times New Roman" w:hAnsi="Times New Roman" w:cs="Times New Roman"/>
          <w:iCs/>
          <w:sz w:val="24"/>
          <w:szCs w:val="24"/>
          <w:lang w:eastAsia="uk-UA"/>
        </w:rPr>
        <w:t xml:space="preserve"> ніж у відп</w:t>
      </w:r>
      <w:r w:rsidR="000A4024">
        <w:rPr>
          <w:rFonts w:ascii="Times New Roman" w:eastAsia="Times New Roman" w:hAnsi="Times New Roman" w:cs="Times New Roman"/>
          <w:iCs/>
          <w:sz w:val="24"/>
          <w:szCs w:val="24"/>
          <w:lang w:eastAsia="uk-UA"/>
        </w:rPr>
        <w:t>овідному періоді 2017 року (1704</w:t>
      </w:r>
      <w:r w:rsidRPr="00661BF1">
        <w:rPr>
          <w:rFonts w:ascii="Times New Roman" w:eastAsia="Times New Roman" w:hAnsi="Times New Roman" w:cs="Times New Roman"/>
          <w:iCs/>
          <w:sz w:val="24"/>
          <w:szCs w:val="24"/>
          <w:lang w:eastAsia="uk-UA"/>
        </w:rPr>
        <w:t>).</w:t>
      </w:r>
    </w:p>
    <w:p w:rsidR="000A4024" w:rsidRPr="00661BF1" w:rsidRDefault="000A4024"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iCs/>
          <w:sz w:val="24"/>
          <w:szCs w:val="24"/>
          <w:lang w:eastAsia="uk-UA"/>
        </w:rPr>
        <w:t>Загальні показники розгляду справ по категоріях у 2018 році наведено у наступній таблиці.</w:t>
      </w:r>
    </w:p>
    <w:p w:rsidR="00671009" w:rsidRPr="00661BF1" w:rsidRDefault="00671009" w:rsidP="00207F89">
      <w:pPr>
        <w:widowControl w:val="0"/>
        <w:spacing w:after="0" w:line="0" w:lineRule="atLeast"/>
        <w:ind w:firstLine="780"/>
        <w:jc w:val="both"/>
        <w:rPr>
          <w:rFonts w:ascii="Times New Roman" w:eastAsia="Times New Roman" w:hAnsi="Times New Roman" w:cs="Times New Roman"/>
          <w:color w:val="000000"/>
          <w:sz w:val="24"/>
          <w:szCs w:val="24"/>
          <w:lang w:eastAsia="uk-UA" w:bidi="uk-UA"/>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70"/>
        <w:gridCol w:w="874"/>
        <w:gridCol w:w="709"/>
        <w:gridCol w:w="709"/>
        <w:gridCol w:w="709"/>
        <w:gridCol w:w="708"/>
        <w:gridCol w:w="709"/>
      </w:tblGrid>
      <w:tr w:rsidR="002D66B9" w:rsidRPr="006D38FB" w:rsidTr="006D38FB">
        <w:trPr>
          <w:cantSplit/>
          <w:trHeight w:val="2019"/>
        </w:trPr>
        <w:tc>
          <w:tcPr>
            <w:tcW w:w="567" w:type="dxa"/>
            <w:shd w:val="clear" w:color="auto" w:fill="auto"/>
            <w:hideMark/>
          </w:tcPr>
          <w:p w:rsidR="00847003" w:rsidRPr="006D38FB" w:rsidRDefault="00847003" w:rsidP="00CD6E9C">
            <w:pPr>
              <w:widowControl w:val="0"/>
              <w:shd w:val="clear" w:color="auto" w:fill="FFFFFF"/>
              <w:spacing w:after="0" w:line="0" w:lineRule="atLeast"/>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 п/</w:t>
            </w:r>
            <w:proofErr w:type="spellStart"/>
            <w:r w:rsidRPr="006D38FB">
              <w:rPr>
                <w:rFonts w:ascii="Times New Roman" w:eastAsia="Times New Roman" w:hAnsi="Times New Roman" w:cs="Times New Roman"/>
                <w:b/>
                <w:bCs/>
                <w:sz w:val="20"/>
                <w:szCs w:val="20"/>
                <w:lang w:eastAsia="uk-UA"/>
              </w:rPr>
              <w:t>п</w:t>
            </w:r>
            <w:proofErr w:type="spellEnd"/>
          </w:p>
        </w:tc>
        <w:tc>
          <w:tcPr>
            <w:tcW w:w="4370" w:type="dxa"/>
            <w:shd w:val="clear" w:color="auto" w:fill="auto"/>
            <w:hideMark/>
          </w:tcPr>
          <w:p w:rsidR="00847003" w:rsidRPr="006D38FB" w:rsidRDefault="00847003" w:rsidP="00CD6E9C">
            <w:pPr>
              <w:widowControl w:val="0"/>
              <w:shd w:val="clear" w:color="auto" w:fill="FFFFFF"/>
              <w:spacing w:after="0" w:line="0" w:lineRule="atLeast"/>
              <w:ind w:left="34"/>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Категорія справи</w:t>
            </w:r>
          </w:p>
        </w:tc>
        <w:tc>
          <w:tcPr>
            <w:tcW w:w="874" w:type="dxa"/>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Перебувало на розгляді</w:t>
            </w:r>
          </w:p>
        </w:tc>
        <w:tc>
          <w:tcPr>
            <w:tcW w:w="709" w:type="dxa"/>
            <w:shd w:val="clear" w:color="auto" w:fill="BFBFBF" w:themeFill="background1" w:themeFillShade="BF"/>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що становить %</w:t>
            </w:r>
          </w:p>
        </w:tc>
        <w:tc>
          <w:tcPr>
            <w:tcW w:w="709" w:type="dxa"/>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Розглянуто</w:t>
            </w:r>
          </w:p>
        </w:tc>
        <w:tc>
          <w:tcPr>
            <w:tcW w:w="709" w:type="dxa"/>
            <w:shd w:val="clear" w:color="auto" w:fill="BFBFBF" w:themeFill="background1" w:themeFillShade="BF"/>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що становить %</w:t>
            </w:r>
          </w:p>
        </w:tc>
        <w:tc>
          <w:tcPr>
            <w:tcW w:w="708" w:type="dxa"/>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Не розглянуто</w:t>
            </w:r>
          </w:p>
        </w:tc>
        <w:tc>
          <w:tcPr>
            <w:tcW w:w="709" w:type="dxa"/>
            <w:shd w:val="clear" w:color="auto" w:fill="BFBFBF" w:themeFill="background1" w:themeFillShade="BF"/>
            <w:textDirection w:val="btLr"/>
          </w:tcPr>
          <w:p w:rsidR="00847003" w:rsidRPr="006D38FB" w:rsidRDefault="00847003" w:rsidP="00455E4A">
            <w:pPr>
              <w:widowControl w:val="0"/>
              <w:shd w:val="clear" w:color="auto" w:fill="FFFFFF"/>
              <w:spacing w:after="0" w:line="0" w:lineRule="atLeast"/>
              <w:ind w:left="113" w:right="113"/>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що становить %</w:t>
            </w:r>
          </w:p>
        </w:tc>
      </w:tr>
      <w:tr w:rsidR="006D38FB" w:rsidRPr="006D38FB" w:rsidTr="006D38FB">
        <w:trPr>
          <w:trHeight w:val="645"/>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w:t>
            </w:r>
          </w:p>
        </w:tc>
        <w:tc>
          <w:tcPr>
            <w:tcW w:w="4370" w:type="dxa"/>
            <w:shd w:val="clear" w:color="auto" w:fill="auto"/>
            <w:hideMark/>
          </w:tcPr>
          <w:p w:rsidR="006D38FB" w:rsidRPr="006D38FB" w:rsidRDefault="006D38FB" w:rsidP="00CD6E9C">
            <w:pPr>
              <w:widowControl w:val="0"/>
              <w:shd w:val="clear" w:color="auto" w:fill="FFFFFF"/>
              <w:spacing w:after="0" w:line="0" w:lineRule="atLeast"/>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забезпечення реалізації громадянами права голосу на виборах і референдумах</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w:t>
            </w:r>
          </w:p>
        </w:tc>
        <w:tc>
          <w:tcPr>
            <w:tcW w:w="709" w:type="dxa"/>
            <w:shd w:val="clear" w:color="auto" w:fill="BFBFBF" w:themeFill="background1" w:themeFillShade="BF"/>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sidRPr="006D38FB">
              <w:rPr>
                <w:rFonts w:ascii="Times New Roman" w:hAnsi="Times New Roman" w:cs="Times New Roman"/>
                <w:sz w:val="20"/>
                <w:szCs w:val="20"/>
              </w:rPr>
              <w:t>100</w:t>
            </w:r>
          </w:p>
        </w:tc>
        <w:tc>
          <w:tcPr>
            <w:tcW w:w="708"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0</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0</w:t>
            </w:r>
          </w:p>
        </w:tc>
      </w:tr>
      <w:tr w:rsidR="006D38FB" w:rsidRPr="006D38FB" w:rsidTr="006D38FB">
        <w:trPr>
          <w:trHeight w:val="1110"/>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2</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121</w:t>
            </w:r>
          </w:p>
        </w:tc>
        <w:tc>
          <w:tcPr>
            <w:tcW w:w="709" w:type="dxa"/>
            <w:shd w:val="clear" w:color="auto" w:fill="BFBFBF" w:themeFill="background1" w:themeFillShade="BF"/>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95</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26</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21</w:t>
            </w:r>
          </w:p>
        </w:tc>
      </w:tr>
      <w:tr w:rsidR="006D38FB" w:rsidRPr="006D38FB" w:rsidTr="006D38FB">
        <w:trPr>
          <w:trHeight w:val="656"/>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3</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забезпечення громадського порядку та безпеки, національної безпеки та оборони України.</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278</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226</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81</w:t>
            </w:r>
          </w:p>
        </w:tc>
        <w:tc>
          <w:tcPr>
            <w:tcW w:w="708"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52</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19</w:t>
            </w:r>
          </w:p>
        </w:tc>
      </w:tr>
      <w:tr w:rsidR="006D38FB" w:rsidRPr="006D38FB" w:rsidTr="006D38FB">
        <w:trPr>
          <w:trHeight w:val="540"/>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4</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реалізації державної політики у сфері освіти, науки, культури та спорту.</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63</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50</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13</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21</w:t>
            </w:r>
          </w:p>
        </w:tc>
      </w:tr>
      <w:tr w:rsidR="006D38FB" w:rsidRPr="006D38FB" w:rsidTr="006D38FB">
        <w:trPr>
          <w:trHeight w:val="535"/>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5</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реалізації державної політики у сфері економіки.</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373</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279</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94</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25</w:t>
            </w:r>
          </w:p>
        </w:tc>
      </w:tr>
      <w:tr w:rsidR="006D38FB" w:rsidRPr="006D38FB" w:rsidTr="006D38FB">
        <w:trPr>
          <w:trHeight w:val="699"/>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6</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забезпечення сталого розвитку населених пунктів та землекористування.</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666</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484</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73</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182</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27</w:t>
            </w:r>
          </w:p>
        </w:tc>
      </w:tr>
      <w:tr w:rsidR="006D38FB" w:rsidRPr="006D38FB" w:rsidTr="006D38FB">
        <w:trPr>
          <w:trHeight w:val="553"/>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7</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охорони навколишнього природного середовища.</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4</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3</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75</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25</w:t>
            </w:r>
          </w:p>
        </w:tc>
      </w:tr>
      <w:tr w:rsidR="006D38FB" w:rsidRPr="006D38FB" w:rsidTr="006D38FB">
        <w:trPr>
          <w:trHeight w:val="702"/>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8</w:t>
            </w:r>
          </w:p>
        </w:tc>
        <w:tc>
          <w:tcPr>
            <w:tcW w:w="4370" w:type="dxa"/>
            <w:shd w:val="clear" w:color="auto" w:fill="auto"/>
            <w:hideMark/>
          </w:tcPr>
          <w:p w:rsidR="006D38FB" w:rsidRPr="006D38FB" w:rsidRDefault="006D38FB" w:rsidP="00CD6E9C">
            <w:pPr>
              <w:widowControl w:val="0"/>
              <w:shd w:val="clear" w:color="auto" w:fill="FFFFFF"/>
              <w:spacing w:after="0" w:line="0" w:lineRule="atLeast"/>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адміністрування податків, зборів, платежів, а також контролю за дотриманням вимог податкового законодавства.</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1879</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1469</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78</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410</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22</w:t>
            </w:r>
          </w:p>
        </w:tc>
      </w:tr>
      <w:tr w:rsidR="006D38FB" w:rsidRPr="006D38FB" w:rsidTr="006D38FB">
        <w:trPr>
          <w:trHeight w:val="557"/>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9</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реалізації публічної фінансової політики.</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155</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98</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63</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57</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37</w:t>
            </w:r>
          </w:p>
        </w:tc>
      </w:tr>
      <w:tr w:rsidR="006D38FB" w:rsidRPr="006D38FB" w:rsidTr="006D38FB">
        <w:trPr>
          <w:trHeight w:val="976"/>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10</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реалізації публічної політики у сферах праці, зайнятості населення та соціального захисту громадян та спорів у сфері публічної житлової політики.</w:t>
            </w:r>
          </w:p>
        </w:tc>
        <w:tc>
          <w:tcPr>
            <w:tcW w:w="874" w:type="dxa"/>
          </w:tcPr>
          <w:p w:rsidR="006D38FB" w:rsidRPr="006D38FB" w:rsidRDefault="006D38FB" w:rsidP="00CD6E9C">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1533</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1206</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79</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327</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21</w:t>
            </w:r>
          </w:p>
        </w:tc>
      </w:tr>
      <w:tr w:rsidR="006D38FB" w:rsidRPr="006D38FB" w:rsidTr="006D38FB">
        <w:trPr>
          <w:trHeight w:val="495"/>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lastRenderedPageBreak/>
              <w:t>11</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приводу забезпечення юстиції.</w:t>
            </w:r>
          </w:p>
        </w:tc>
        <w:tc>
          <w:tcPr>
            <w:tcW w:w="874" w:type="dxa"/>
          </w:tcPr>
          <w:p w:rsidR="006D38FB" w:rsidRPr="006D38FB" w:rsidRDefault="006D38FB" w:rsidP="00CD6E9C">
            <w:pPr>
              <w:widowControl w:val="0"/>
              <w:spacing w:after="0" w:line="0" w:lineRule="atLeast"/>
              <w:jc w:val="center"/>
              <w:rPr>
                <w:rFonts w:ascii="Times New Roman" w:eastAsia="Times New Roman" w:hAnsi="Times New Roman" w:cs="Times New Roman"/>
                <w:sz w:val="20"/>
                <w:szCs w:val="20"/>
                <w:lang w:eastAsia="uk-UA"/>
              </w:rPr>
            </w:pPr>
            <w:r w:rsidRPr="006D38FB">
              <w:rPr>
                <w:rFonts w:ascii="Times New Roman" w:eastAsia="Times New Roman" w:hAnsi="Times New Roman" w:cs="Times New Roman"/>
                <w:sz w:val="20"/>
                <w:szCs w:val="20"/>
                <w:lang w:eastAsia="uk-UA"/>
              </w:rPr>
              <w:t>260</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207</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80</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53</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w:t>
            </w:r>
            <w:r w:rsidRPr="006D38FB">
              <w:rPr>
                <w:rFonts w:ascii="Times New Roman" w:hAnsi="Times New Roman" w:cs="Times New Roman"/>
                <w:sz w:val="20"/>
                <w:szCs w:val="20"/>
              </w:rPr>
              <w:t>0</w:t>
            </w:r>
          </w:p>
        </w:tc>
      </w:tr>
      <w:tr w:rsidR="006D38FB" w:rsidRPr="006D38FB" w:rsidTr="006D38FB">
        <w:trPr>
          <w:trHeight w:val="420"/>
        </w:trPr>
        <w:tc>
          <w:tcPr>
            <w:tcW w:w="567" w:type="dxa"/>
            <w:shd w:val="clear" w:color="auto" w:fill="auto"/>
            <w:noWrap/>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12</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Справи зі спорів з відносин публічної служби.</w:t>
            </w:r>
          </w:p>
        </w:tc>
        <w:tc>
          <w:tcPr>
            <w:tcW w:w="874" w:type="dxa"/>
          </w:tcPr>
          <w:p w:rsidR="006D38FB" w:rsidRPr="006D38FB" w:rsidRDefault="006D38FB" w:rsidP="00CD6E9C">
            <w:pPr>
              <w:widowControl w:val="0"/>
              <w:spacing w:after="0" w:line="0" w:lineRule="atLeast"/>
              <w:jc w:val="center"/>
              <w:rPr>
                <w:rFonts w:ascii="Times New Roman" w:eastAsia="Times New Roman" w:hAnsi="Times New Roman" w:cs="Times New Roman"/>
                <w:sz w:val="20"/>
                <w:szCs w:val="20"/>
                <w:lang w:eastAsia="uk-UA"/>
              </w:rPr>
            </w:pPr>
            <w:r w:rsidRPr="006D38FB">
              <w:rPr>
                <w:rFonts w:ascii="Times New Roman" w:eastAsia="Times New Roman" w:hAnsi="Times New Roman" w:cs="Times New Roman"/>
                <w:sz w:val="20"/>
                <w:szCs w:val="20"/>
                <w:lang w:eastAsia="uk-UA"/>
              </w:rPr>
              <w:t>584</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386</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66</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Cs/>
                <w:sz w:val="20"/>
                <w:szCs w:val="20"/>
                <w:lang w:eastAsia="uk-UA"/>
              </w:rPr>
            </w:pPr>
            <w:r w:rsidRPr="006D38FB">
              <w:rPr>
                <w:rFonts w:ascii="Times New Roman" w:eastAsia="Times New Roman" w:hAnsi="Times New Roman" w:cs="Times New Roman"/>
                <w:bCs/>
                <w:sz w:val="20"/>
                <w:szCs w:val="20"/>
                <w:lang w:eastAsia="uk-UA"/>
              </w:rPr>
              <w:t>198</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34</w:t>
            </w:r>
          </w:p>
        </w:tc>
      </w:tr>
      <w:tr w:rsidR="006D38FB" w:rsidRPr="006D38FB" w:rsidTr="006D38FB">
        <w:trPr>
          <w:trHeight w:val="267"/>
        </w:trPr>
        <w:tc>
          <w:tcPr>
            <w:tcW w:w="567" w:type="dxa"/>
            <w:shd w:val="clear" w:color="auto" w:fill="auto"/>
            <w:hideMark/>
          </w:tcPr>
          <w:p w:rsidR="006D38FB" w:rsidRPr="006D38FB" w:rsidRDefault="006D38FB" w:rsidP="00CD6E9C">
            <w:pPr>
              <w:widowControl w:val="0"/>
              <w:shd w:val="clear" w:color="auto" w:fill="FFFFFF"/>
              <w:spacing w:after="0" w:line="0" w:lineRule="atLeast"/>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13</w:t>
            </w:r>
          </w:p>
        </w:tc>
        <w:tc>
          <w:tcPr>
            <w:tcW w:w="4370" w:type="dxa"/>
            <w:shd w:val="clear" w:color="auto" w:fill="auto"/>
            <w:hideMark/>
          </w:tcPr>
          <w:p w:rsidR="006D38FB" w:rsidRPr="006D38FB" w:rsidRDefault="006D38FB" w:rsidP="00CD6E9C">
            <w:pPr>
              <w:widowControl w:val="0"/>
              <w:shd w:val="clear" w:color="auto" w:fill="FFFFFF"/>
              <w:spacing w:after="0" w:line="0" w:lineRule="atLeast"/>
              <w:ind w:left="34"/>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 xml:space="preserve">УСЬОГО </w:t>
            </w:r>
          </w:p>
        </w:tc>
        <w:tc>
          <w:tcPr>
            <w:tcW w:w="874" w:type="dxa"/>
          </w:tcPr>
          <w:p w:rsidR="006D38FB" w:rsidRPr="006D38FB" w:rsidRDefault="006D38FB" w:rsidP="00CD6E9C">
            <w:pPr>
              <w:widowControl w:val="0"/>
              <w:spacing w:after="0" w:line="0" w:lineRule="atLeast"/>
              <w:jc w:val="center"/>
              <w:rPr>
                <w:rFonts w:ascii="Times New Roman" w:eastAsia="Times New Roman" w:hAnsi="Times New Roman" w:cs="Times New Roman"/>
                <w:b/>
                <w:sz w:val="20"/>
                <w:szCs w:val="20"/>
                <w:lang w:eastAsia="uk-UA"/>
              </w:rPr>
            </w:pPr>
            <w:r w:rsidRPr="006D38FB">
              <w:rPr>
                <w:rFonts w:ascii="Times New Roman" w:eastAsia="Times New Roman" w:hAnsi="Times New Roman" w:cs="Times New Roman"/>
                <w:b/>
                <w:sz w:val="20"/>
                <w:szCs w:val="20"/>
                <w:lang w:eastAsia="uk-UA"/>
              </w:rPr>
              <w:t>5917</w:t>
            </w:r>
          </w:p>
        </w:tc>
        <w:tc>
          <w:tcPr>
            <w:tcW w:w="709" w:type="dxa"/>
            <w:shd w:val="clear" w:color="auto" w:fill="BFBFBF" w:themeFill="background1" w:themeFillShade="BF"/>
          </w:tcPr>
          <w:p w:rsidR="006D38FB" w:rsidRPr="006D38FB" w:rsidRDefault="006D38FB" w:rsidP="00B11B41">
            <w:pPr>
              <w:widowControl w:val="0"/>
              <w:spacing w:after="0" w:line="0" w:lineRule="atLeast"/>
              <w:jc w:val="center"/>
              <w:rPr>
                <w:rFonts w:ascii="Times New Roman" w:eastAsia="Arial Unicode MS" w:hAnsi="Times New Roman" w:cs="Times New Roman"/>
                <w:color w:val="000000"/>
                <w:sz w:val="20"/>
                <w:szCs w:val="20"/>
                <w:lang w:eastAsia="uk-UA" w:bidi="uk-UA"/>
              </w:rPr>
            </w:pPr>
            <w:r w:rsidRPr="006D38FB">
              <w:rPr>
                <w:rFonts w:ascii="Times New Roman" w:eastAsia="Arial Unicode MS" w:hAnsi="Times New Roman" w:cs="Times New Roman"/>
                <w:color w:val="000000"/>
                <w:sz w:val="20"/>
                <w:szCs w:val="20"/>
                <w:lang w:eastAsia="uk-UA" w:bidi="uk-UA"/>
              </w:rPr>
              <w:t>100</w:t>
            </w:r>
          </w:p>
        </w:tc>
        <w:tc>
          <w:tcPr>
            <w:tcW w:w="709"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4504</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76</w:t>
            </w:r>
          </w:p>
        </w:tc>
        <w:tc>
          <w:tcPr>
            <w:tcW w:w="708" w:type="dxa"/>
          </w:tcPr>
          <w:p w:rsidR="006D38FB" w:rsidRPr="006D38FB" w:rsidRDefault="006D38FB" w:rsidP="00CD6E9C">
            <w:pPr>
              <w:widowControl w:val="0"/>
              <w:shd w:val="clear" w:color="auto" w:fill="FFFFFF"/>
              <w:spacing w:after="0" w:line="0" w:lineRule="atLeast"/>
              <w:ind w:left="34"/>
              <w:jc w:val="center"/>
              <w:rPr>
                <w:rFonts w:ascii="Times New Roman" w:eastAsia="Times New Roman" w:hAnsi="Times New Roman" w:cs="Times New Roman"/>
                <w:b/>
                <w:bCs/>
                <w:sz w:val="20"/>
                <w:szCs w:val="20"/>
                <w:lang w:eastAsia="uk-UA"/>
              </w:rPr>
            </w:pPr>
            <w:r w:rsidRPr="006D38FB">
              <w:rPr>
                <w:rFonts w:ascii="Times New Roman" w:eastAsia="Times New Roman" w:hAnsi="Times New Roman" w:cs="Times New Roman"/>
                <w:b/>
                <w:bCs/>
                <w:sz w:val="20"/>
                <w:szCs w:val="20"/>
                <w:lang w:eastAsia="uk-UA"/>
              </w:rPr>
              <w:t>1413</w:t>
            </w:r>
          </w:p>
        </w:tc>
        <w:tc>
          <w:tcPr>
            <w:tcW w:w="709" w:type="dxa"/>
            <w:shd w:val="clear" w:color="auto" w:fill="BFBFBF" w:themeFill="background1" w:themeFillShade="BF"/>
          </w:tcPr>
          <w:p w:rsidR="006D38FB" w:rsidRPr="006D38FB" w:rsidRDefault="006D38FB" w:rsidP="006D38FB">
            <w:pPr>
              <w:jc w:val="center"/>
              <w:rPr>
                <w:rFonts w:ascii="Times New Roman" w:hAnsi="Times New Roman" w:cs="Times New Roman"/>
                <w:sz w:val="20"/>
                <w:szCs w:val="20"/>
              </w:rPr>
            </w:pPr>
            <w:r>
              <w:rPr>
                <w:rFonts w:ascii="Times New Roman" w:hAnsi="Times New Roman" w:cs="Times New Roman"/>
                <w:sz w:val="20"/>
                <w:szCs w:val="20"/>
              </w:rPr>
              <w:t>24</w:t>
            </w:r>
          </w:p>
        </w:tc>
      </w:tr>
    </w:tbl>
    <w:p w:rsidR="00671009" w:rsidRDefault="00671009" w:rsidP="001055CE">
      <w:pPr>
        <w:widowControl w:val="0"/>
        <w:spacing w:after="0" w:line="0" w:lineRule="atLeast"/>
        <w:ind w:firstLine="709"/>
        <w:jc w:val="both"/>
        <w:rPr>
          <w:rFonts w:ascii="Times New Roman" w:eastAsia="Times New Roman" w:hAnsi="Times New Roman" w:cs="Times New Roman"/>
          <w:color w:val="000000"/>
          <w:sz w:val="24"/>
          <w:szCs w:val="24"/>
          <w:lang w:eastAsia="uk-UA" w:bidi="uk-UA"/>
        </w:rPr>
      </w:pPr>
    </w:p>
    <w:p w:rsidR="001055CE" w:rsidRDefault="00B7220F"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Найбільший залишок справ спостерігається по спорах з приводу реалізації публічної фінансової політики. Також нижче середнього спостерігається показник розгляду справ з приводу публічної служби (прийняття, проходження, звільнення)</w:t>
      </w:r>
      <w:r w:rsidR="002D66B9">
        <w:rPr>
          <w:rFonts w:ascii="Times New Roman" w:eastAsia="Times New Roman" w:hAnsi="Times New Roman" w:cs="Times New Roman"/>
          <w:sz w:val="24"/>
          <w:szCs w:val="24"/>
          <w:lang w:eastAsia="uk-UA"/>
        </w:rPr>
        <w:t>.</w:t>
      </w:r>
    </w:p>
    <w:p w:rsidR="001055CE" w:rsidRDefault="001055CE"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EC2071" w:rsidRDefault="00847003" w:rsidP="00207F89">
      <w:pPr>
        <w:widowControl w:val="0"/>
        <w:spacing w:after="0" w:line="0" w:lineRule="atLeast"/>
        <w:ind w:firstLine="780"/>
        <w:jc w:val="both"/>
        <w:rPr>
          <w:rFonts w:ascii="Times New Roman" w:eastAsia="Times New Roman" w:hAnsi="Times New Roman" w:cs="Times New Roman"/>
          <w:sz w:val="24"/>
          <w:szCs w:val="24"/>
          <w:lang w:eastAsia="uk-UA"/>
        </w:rPr>
      </w:pPr>
      <w:r w:rsidRPr="00847003">
        <w:rPr>
          <w:rFonts w:ascii="Times New Roman" w:eastAsia="Times New Roman" w:hAnsi="Times New Roman" w:cs="Times New Roman"/>
          <w:sz w:val="24"/>
          <w:szCs w:val="24"/>
          <w:lang w:eastAsia="uk-UA"/>
        </w:rPr>
        <w:t xml:space="preserve">Порівняння наслідків розгляду </w:t>
      </w:r>
      <w:r>
        <w:rPr>
          <w:rFonts w:ascii="Times New Roman" w:eastAsia="Times New Roman" w:hAnsi="Times New Roman" w:cs="Times New Roman"/>
          <w:sz w:val="24"/>
          <w:szCs w:val="24"/>
          <w:lang w:eastAsia="uk-UA"/>
        </w:rPr>
        <w:t>справ</w:t>
      </w:r>
      <w:r w:rsidRPr="00847003">
        <w:rPr>
          <w:rFonts w:ascii="Times New Roman" w:eastAsia="Times New Roman" w:hAnsi="Times New Roman" w:cs="Times New Roman"/>
          <w:sz w:val="24"/>
          <w:szCs w:val="24"/>
          <w:lang w:eastAsia="uk-UA"/>
        </w:rPr>
        <w:t xml:space="preserve"> в 2017 та 2018 ро</w:t>
      </w:r>
      <w:r w:rsidR="0087453A">
        <w:rPr>
          <w:rFonts w:ascii="Times New Roman" w:eastAsia="Times New Roman" w:hAnsi="Times New Roman" w:cs="Times New Roman"/>
          <w:sz w:val="24"/>
          <w:szCs w:val="24"/>
          <w:lang w:eastAsia="uk-UA"/>
        </w:rPr>
        <w:t>ках наведені у наступній діаграмі</w:t>
      </w:r>
      <w:r w:rsidRPr="00847003">
        <w:rPr>
          <w:rFonts w:ascii="Times New Roman" w:eastAsia="Times New Roman" w:hAnsi="Times New Roman" w:cs="Times New Roman"/>
          <w:sz w:val="24"/>
          <w:szCs w:val="24"/>
          <w:lang w:eastAsia="uk-UA"/>
        </w:rPr>
        <w:t>.</w:t>
      </w:r>
    </w:p>
    <w:p w:rsidR="0087453A" w:rsidRDefault="0087453A"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87453A" w:rsidRDefault="0087453A" w:rsidP="00207F89">
      <w:pPr>
        <w:widowControl w:val="0"/>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2D2E0187" wp14:editId="58FD5123">
            <wp:extent cx="6230203" cy="3609833"/>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7003" w:rsidRDefault="00847003"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847003" w:rsidRDefault="00F64306"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Позитивним показником є покращення оперативності розгляду справ та зменшення кількості справ розглянутих з порушенням строків передбачених процесуальним законодавством. У 2018 році </w:t>
      </w:r>
      <w:r w:rsidR="00AC02C7">
        <w:rPr>
          <w:rFonts w:ascii="Times New Roman" w:eastAsia="Times New Roman" w:hAnsi="Times New Roman" w:cs="Times New Roman"/>
          <w:sz w:val="24"/>
          <w:szCs w:val="24"/>
          <w:lang w:eastAsia="uk-UA"/>
        </w:rPr>
        <w:t>з порушенням строків розглянуто 100 справ</w:t>
      </w:r>
      <w:r>
        <w:rPr>
          <w:rFonts w:ascii="Times New Roman" w:eastAsia="Times New Roman" w:hAnsi="Times New Roman" w:cs="Times New Roman"/>
          <w:sz w:val="24"/>
          <w:szCs w:val="24"/>
          <w:lang w:eastAsia="uk-UA"/>
        </w:rPr>
        <w:t xml:space="preserve">, що на 83% менше у порівнянні із 2017 роком (592). </w:t>
      </w:r>
      <w:r w:rsidR="00272EA1">
        <w:rPr>
          <w:rFonts w:ascii="Times New Roman" w:eastAsia="Times New Roman" w:hAnsi="Times New Roman" w:cs="Times New Roman"/>
          <w:sz w:val="24"/>
          <w:szCs w:val="24"/>
          <w:lang w:eastAsia="uk-UA"/>
        </w:rPr>
        <w:t xml:space="preserve">Від загальної кількості розглянути 4504 справ, з порушенням строку розглянуто 100 справ, що становить 2%. </w:t>
      </w:r>
    </w:p>
    <w:p w:rsidR="005A5EAA" w:rsidRDefault="006652D5"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Відповідно до статистичних даних найбільше з порушенням строку розглянуто справи за позовами юридичних осіб чи фізичних осіб – підприємців до органів державної фіскальної служби про оскарження податкових повідомлень-рішень. Тривалий розгляд справ пояснюється необхідністю дослідження усіх обставин </w:t>
      </w:r>
      <w:r w:rsidR="00237DCF">
        <w:rPr>
          <w:rFonts w:ascii="Times New Roman" w:eastAsia="Times New Roman" w:hAnsi="Times New Roman" w:cs="Times New Roman"/>
          <w:sz w:val="24"/>
          <w:szCs w:val="24"/>
          <w:lang w:eastAsia="uk-UA"/>
        </w:rPr>
        <w:t>та доказів по справі.</w:t>
      </w:r>
    </w:p>
    <w:p w:rsidR="0011794F" w:rsidRDefault="005A5EAA"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Тенденція зменшення кількості справ розглянутих із порушенням процесуальних строків, наведена у наступній таблиці.</w:t>
      </w:r>
      <w:r w:rsidR="006652D5">
        <w:rPr>
          <w:rFonts w:ascii="Times New Roman" w:eastAsia="Times New Roman" w:hAnsi="Times New Roman" w:cs="Times New Roman"/>
          <w:sz w:val="24"/>
          <w:szCs w:val="24"/>
          <w:lang w:eastAsia="uk-UA"/>
        </w:rPr>
        <w:t xml:space="preserve">   </w:t>
      </w:r>
    </w:p>
    <w:p w:rsidR="00F64306" w:rsidRDefault="00053017" w:rsidP="00207F89">
      <w:pPr>
        <w:widowControl w:val="0"/>
        <w:spacing w:after="0" w:line="0" w:lineRule="atLeast"/>
        <w:ind w:firstLine="780"/>
        <w:jc w:val="both"/>
        <w:rPr>
          <w:rFonts w:ascii="Times New Roman" w:eastAsia="Times New Roman" w:hAnsi="Times New Roman" w:cs="Times New Roman"/>
          <w:sz w:val="24"/>
          <w:szCs w:val="24"/>
          <w:lang w:eastAsia="uk-UA"/>
        </w:rPr>
      </w:pPr>
      <w:r w:rsidRPr="00A609CC">
        <w:rPr>
          <w:rFonts w:ascii="Times New Roman" w:eastAsia="Times New Roman" w:hAnsi="Times New Roman" w:cs="Times New Roman"/>
          <w:noProof/>
          <w:sz w:val="24"/>
          <w:szCs w:val="24"/>
          <w:bdr w:val="single" w:sz="4" w:space="0" w:color="auto"/>
          <w:lang w:eastAsia="uk-UA"/>
        </w:rPr>
        <w:drawing>
          <wp:inline distT="0" distB="0" distL="0" distR="0" wp14:anchorId="680301FC" wp14:editId="566FFFEE">
            <wp:extent cx="5486400" cy="1746914"/>
            <wp:effectExtent l="0" t="0" r="0" b="571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2EA1" w:rsidRDefault="00AE13E2" w:rsidP="00207F8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 xml:space="preserve">Слід відмітити, що порушені строки є незначними, у більшості випадків причинами, які </w:t>
      </w:r>
      <w:r w:rsidRPr="00CF3839">
        <w:rPr>
          <w:rFonts w:ascii="Times New Roman" w:eastAsia="Times New Roman" w:hAnsi="Times New Roman" w:cs="Times New Roman"/>
          <w:sz w:val="24"/>
          <w:szCs w:val="24"/>
          <w:lang w:eastAsia="uk-UA"/>
        </w:rPr>
        <w:lastRenderedPageBreak/>
        <w:t>негативно впливали на своєчасність розгляду справ, були неприбуття сторін у судове засідання, відкладення розгляду справ за клопотаннями учасників судового процесу, витребування судом додаткових доказів, оголошення перерви, перебування суддів у відпустках або на лікарняному, виклик свідків та розгляд заяв про забезпечення доказів.</w:t>
      </w:r>
    </w:p>
    <w:p w:rsidR="00685B5C" w:rsidRDefault="005C22D6"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Залишок нерозглянутих справ на кінець звітного періоду становить 1413 справ, із них зупинено 484 справи, що становить 34% від загальної кільк</w:t>
      </w:r>
      <w:r w:rsidR="00237DCF">
        <w:rPr>
          <w:rFonts w:ascii="Times New Roman" w:eastAsia="Times New Roman" w:hAnsi="Times New Roman" w:cs="Times New Roman"/>
          <w:sz w:val="24"/>
          <w:szCs w:val="24"/>
          <w:lang w:eastAsia="uk-UA"/>
        </w:rPr>
        <w:t>ості нерозглянутих справ. У інших</w:t>
      </w:r>
      <w:r>
        <w:rPr>
          <w:rFonts w:ascii="Times New Roman" w:eastAsia="Times New Roman" w:hAnsi="Times New Roman" w:cs="Times New Roman"/>
          <w:sz w:val="24"/>
          <w:szCs w:val="24"/>
          <w:lang w:eastAsia="uk-UA"/>
        </w:rPr>
        <w:t xml:space="preserve"> 929 справах або 66% перенесено судовий розгляд через неявку сторін або одного із учасників справи. Також, часто причиною перенесення судового засідання є обґрунтоване клопотання однієї із сторін про необхідність витребування доказів </w:t>
      </w:r>
      <w:r w:rsidR="00685B5C">
        <w:rPr>
          <w:rFonts w:ascii="Times New Roman" w:eastAsia="Times New Roman" w:hAnsi="Times New Roman" w:cs="Times New Roman"/>
          <w:sz w:val="24"/>
          <w:szCs w:val="24"/>
          <w:lang w:eastAsia="uk-UA"/>
        </w:rPr>
        <w:t>або про необхідність подання додаткових доказів.</w:t>
      </w:r>
    </w:p>
    <w:p w:rsidR="005C22D6" w:rsidRDefault="00685B5C"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Загалом, на кінець звітного періоду не розглянуто 1762 справ та матеріалів. </w:t>
      </w:r>
      <w:r w:rsidRPr="00685B5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Із них справи становлять 1413, що дорівнює 80%, та матеріали 349, що відповідно дорівнює 20</w:t>
      </w:r>
      <w:r w:rsidRPr="00685B5C">
        <w:rPr>
          <w:rFonts w:ascii="Times New Roman" w:eastAsia="Times New Roman" w:hAnsi="Times New Roman" w:cs="Times New Roman"/>
          <w:sz w:val="24"/>
          <w:szCs w:val="24"/>
          <w:lang w:eastAsia="uk-UA"/>
        </w:rPr>
        <w:t>%.</w:t>
      </w:r>
    </w:p>
    <w:p w:rsidR="00685B5C" w:rsidRDefault="00685B5C"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Загальні показники нерозглянутих справ і матеріалів за 2017 і 2018 роки </w:t>
      </w:r>
      <w:r w:rsidR="00841399">
        <w:rPr>
          <w:rFonts w:ascii="Times New Roman" w:eastAsia="Times New Roman" w:hAnsi="Times New Roman" w:cs="Times New Roman"/>
          <w:sz w:val="24"/>
          <w:szCs w:val="24"/>
          <w:lang w:eastAsia="uk-UA"/>
        </w:rPr>
        <w:t>у відсотковому відношенні виглядає наступним чином.</w:t>
      </w:r>
    </w:p>
    <w:p w:rsidR="00841399" w:rsidRDefault="00841399" w:rsidP="00841399">
      <w:pPr>
        <w:widowControl w:val="0"/>
        <w:spacing w:after="0" w:line="0" w:lineRule="atLeast"/>
        <w:ind w:left="709" w:firstLine="71"/>
        <w:jc w:val="both"/>
        <w:rPr>
          <w:rFonts w:ascii="Times New Roman" w:eastAsia="Times New Roman" w:hAnsi="Times New Roman" w:cs="Times New Roman"/>
          <w:sz w:val="24"/>
          <w:szCs w:val="24"/>
          <w:lang w:eastAsia="uk-UA"/>
        </w:rPr>
      </w:pPr>
    </w:p>
    <w:p w:rsidR="00841399" w:rsidRDefault="00841399" w:rsidP="00841399">
      <w:pPr>
        <w:widowControl w:val="0"/>
        <w:spacing w:after="0" w:line="0" w:lineRule="atLeast"/>
        <w:ind w:left="709" w:firstLine="71"/>
        <w:jc w:val="both"/>
        <w:rPr>
          <w:rFonts w:ascii="Times New Roman" w:eastAsia="Times New Roman" w:hAnsi="Times New Roman" w:cs="Times New Roman"/>
          <w:sz w:val="24"/>
          <w:szCs w:val="24"/>
          <w:lang w:eastAsia="uk-UA"/>
        </w:rPr>
      </w:pPr>
      <w:r w:rsidRPr="008A267F">
        <w:rPr>
          <w:rFonts w:ascii="Times New Roman" w:eastAsia="Times New Roman" w:hAnsi="Times New Roman" w:cs="Times New Roman"/>
          <w:noProof/>
          <w:color w:val="000000"/>
          <w:sz w:val="24"/>
          <w:szCs w:val="24"/>
          <w:bdr w:val="single" w:sz="4" w:space="0" w:color="auto"/>
          <w:lang w:eastAsia="uk-UA"/>
        </w:rPr>
        <w:drawing>
          <wp:inline distT="0" distB="0" distL="0" distR="0" wp14:anchorId="379427A4" wp14:editId="49C1835D">
            <wp:extent cx="2279177" cy="2340591"/>
            <wp:effectExtent l="0" t="0" r="6985" b="317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279015" cy="2339975"/>
            <wp:effectExtent l="0" t="0" r="6985" b="3175"/>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Times New Roman" w:eastAsia="Times New Roman" w:hAnsi="Times New Roman" w:cs="Times New Roman"/>
          <w:sz w:val="24"/>
          <w:szCs w:val="24"/>
          <w:lang w:eastAsia="uk-UA"/>
        </w:rPr>
        <w:br w:type="textWrapping" w:clear="all"/>
      </w:r>
    </w:p>
    <w:p w:rsidR="00754007" w:rsidRDefault="008A267F" w:rsidP="00207F8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Так, у 2018 при кількості 13 535 справ і матеріалів, що перебували на розгляді, розглянуто 11773 справ і матеріалів, не розглянутими залишились 1762 справи і матеріали. У 2017 році в провадженні суду перебувало 8393 справи і матеріали, із них розглянуто 6689 та не розглянутими залишились 1704.</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 xml:space="preserve">Крім того, у звітному періоді </w:t>
      </w:r>
      <w:r w:rsidR="00A60419">
        <w:rPr>
          <w:rFonts w:ascii="Times New Roman" w:eastAsia="Times New Roman" w:hAnsi="Times New Roman" w:cs="Times New Roman"/>
          <w:sz w:val="24"/>
          <w:szCs w:val="24"/>
          <w:lang w:eastAsia="uk-UA"/>
        </w:rPr>
        <w:t>на розгляді в суді перебувало 33</w:t>
      </w:r>
      <w:r w:rsidRPr="00CF3839">
        <w:rPr>
          <w:rFonts w:ascii="Times New Roman" w:eastAsia="Times New Roman" w:hAnsi="Times New Roman" w:cs="Times New Roman"/>
          <w:sz w:val="24"/>
          <w:szCs w:val="24"/>
          <w:lang w:eastAsia="uk-UA"/>
        </w:rPr>
        <w:t xml:space="preserve"> заяв</w:t>
      </w:r>
      <w:r w:rsidR="00A60419">
        <w:rPr>
          <w:rFonts w:ascii="Times New Roman" w:eastAsia="Times New Roman" w:hAnsi="Times New Roman" w:cs="Times New Roman"/>
          <w:sz w:val="24"/>
          <w:szCs w:val="24"/>
          <w:lang w:eastAsia="uk-UA"/>
        </w:rPr>
        <w:t>и</w:t>
      </w:r>
      <w:r w:rsidRPr="00CF3839">
        <w:rPr>
          <w:rFonts w:ascii="Times New Roman" w:eastAsia="Times New Roman" w:hAnsi="Times New Roman" w:cs="Times New Roman"/>
          <w:sz w:val="24"/>
          <w:szCs w:val="24"/>
          <w:lang w:eastAsia="uk-UA"/>
        </w:rPr>
        <w:t xml:space="preserve"> про перегляд рішення за </w:t>
      </w:r>
      <w:proofErr w:type="spellStart"/>
      <w:r w:rsidRPr="00CF3839">
        <w:rPr>
          <w:rFonts w:ascii="Times New Roman" w:eastAsia="Times New Roman" w:hAnsi="Times New Roman" w:cs="Times New Roman"/>
          <w:sz w:val="24"/>
          <w:szCs w:val="24"/>
          <w:lang w:eastAsia="uk-UA"/>
        </w:rPr>
        <w:t>ново</w:t>
      </w:r>
      <w:r w:rsidR="00A60419">
        <w:rPr>
          <w:rFonts w:ascii="Times New Roman" w:eastAsia="Times New Roman" w:hAnsi="Times New Roman" w:cs="Times New Roman"/>
          <w:sz w:val="24"/>
          <w:szCs w:val="24"/>
          <w:lang w:eastAsia="uk-UA"/>
        </w:rPr>
        <w:t>виявленими</w:t>
      </w:r>
      <w:proofErr w:type="spellEnd"/>
      <w:r w:rsidR="00A60419">
        <w:rPr>
          <w:rFonts w:ascii="Times New Roman" w:eastAsia="Times New Roman" w:hAnsi="Times New Roman" w:cs="Times New Roman"/>
          <w:sz w:val="24"/>
          <w:szCs w:val="24"/>
          <w:lang w:eastAsia="uk-UA"/>
        </w:rPr>
        <w:t xml:space="preserve"> обставинами, що на 13 % більше порівняно із 2017 роком (29). Зокрема у 2018 році надійшло 23 такі</w:t>
      </w:r>
      <w:r w:rsidRPr="00CF3839">
        <w:rPr>
          <w:rFonts w:ascii="Times New Roman" w:eastAsia="Times New Roman" w:hAnsi="Times New Roman" w:cs="Times New Roman"/>
          <w:sz w:val="24"/>
          <w:szCs w:val="24"/>
          <w:lang w:eastAsia="uk-UA"/>
        </w:rPr>
        <w:t xml:space="preserve"> заяв</w:t>
      </w:r>
      <w:r w:rsidR="00A60419">
        <w:rPr>
          <w:rFonts w:ascii="Times New Roman" w:eastAsia="Times New Roman" w:hAnsi="Times New Roman" w:cs="Times New Roman"/>
          <w:sz w:val="24"/>
          <w:szCs w:val="24"/>
          <w:lang w:eastAsia="uk-UA"/>
        </w:rPr>
        <w:t>и. Розглянуто судом 26 заяв, що становить 79</w:t>
      </w:r>
      <w:r w:rsidRPr="00CF3839">
        <w:rPr>
          <w:rFonts w:ascii="Times New Roman" w:eastAsia="Times New Roman" w:hAnsi="Times New Roman" w:cs="Times New Roman"/>
          <w:sz w:val="24"/>
          <w:szCs w:val="24"/>
          <w:lang w:eastAsia="uk-UA"/>
        </w:rPr>
        <w:t xml:space="preserve"> %. На кінець зві</w:t>
      </w:r>
      <w:r w:rsidR="00A60419">
        <w:rPr>
          <w:rFonts w:ascii="Times New Roman" w:eastAsia="Times New Roman" w:hAnsi="Times New Roman" w:cs="Times New Roman"/>
          <w:sz w:val="24"/>
          <w:szCs w:val="24"/>
          <w:lang w:eastAsia="uk-UA"/>
        </w:rPr>
        <w:t>тного періоду не розглянуто 7</w:t>
      </w:r>
      <w:r w:rsidRPr="00CF3839">
        <w:rPr>
          <w:rFonts w:ascii="Times New Roman" w:eastAsia="Times New Roman" w:hAnsi="Times New Roman" w:cs="Times New Roman"/>
          <w:sz w:val="24"/>
          <w:szCs w:val="24"/>
          <w:lang w:eastAsia="uk-UA"/>
        </w:rPr>
        <w:t xml:space="preserve"> таких заяв, що </w:t>
      </w:r>
      <w:r w:rsidR="00A60419">
        <w:rPr>
          <w:rFonts w:ascii="Times New Roman" w:eastAsia="Times New Roman" w:hAnsi="Times New Roman" w:cs="Times New Roman"/>
          <w:sz w:val="24"/>
          <w:szCs w:val="24"/>
          <w:lang w:eastAsia="uk-UA"/>
        </w:rPr>
        <w:t>відповідно становлять 21</w:t>
      </w:r>
      <w:r w:rsidRPr="00CF3839">
        <w:rPr>
          <w:rFonts w:ascii="Times New Roman" w:eastAsia="Times New Roman" w:hAnsi="Times New Roman" w:cs="Times New Roman"/>
          <w:sz w:val="24"/>
          <w:szCs w:val="24"/>
          <w:lang w:eastAsia="uk-UA"/>
        </w:rPr>
        <w:t xml:space="preserve"> %. Підставами для перегляду судового рішення за </w:t>
      </w:r>
      <w:proofErr w:type="spellStart"/>
      <w:r w:rsidRPr="00CF3839">
        <w:rPr>
          <w:rFonts w:ascii="Times New Roman" w:eastAsia="Times New Roman" w:hAnsi="Times New Roman" w:cs="Times New Roman"/>
          <w:sz w:val="24"/>
          <w:szCs w:val="24"/>
          <w:lang w:eastAsia="uk-UA"/>
        </w:rPr>
        <w:t>но</w:t>
      </w:r>
      <w:r w:rsidR="00A60419">
        <w:rPr>
          <w:rFonts w:ascii="Times New Roman" w:eastAsia="Times New Roman" w:hAnsi="Times New Roman" w:cs="Times New Roman"/>
          <w:sz w:val="24"/>
          <w:szCs w:val="24"/>
          <w:lang w:eastAsia="uk-UA"/>
        </w:rPr>
        <w:t>вовиявленими</w:t>
      </w:r>
      <w:proofErr w:type="spellEnd"/>
      <w:r w:rsidR="00A60419">
        <w:rPr>
          <w:rFonts w:ascii="Times New Roman" w:eastAsia="Times New Roman" w:hAnsi="Times New Roman" w:cs="Times New Roman"/>
          <w:sz w:val="24"/>
          <w:szCs w:val="24"/>
          <w:lang w:eastAsia="uk-UA"/>
        </w:rPr>
        <w:t xml:space="preserve"> обставинами по 19</w:t>
      </w:r>
      <w:r w:rsidRPr="00CF3839">
        <w:rPr>
          <w:rFonts w:ascii="Times New Roman" w:eastAsia="Times New Roman" w:hAnsi="Times New Roman" w:cs="Times New Roman"/>
          <w:sz w:val="24"/>
          <w:szCs w:val="24"/>
          <w:lang w:eastAsia="uk-UA"/>
        </w:rPr>
        <w:t xml:space="preserve"> заявах були істотні для справи обставини, що не були і не могли бути відомі особі, яка звертається із заявою на час розгляду справи. </w:t>
      </w:r>
      <w:r w:rsidR="00A60419">
        <w:rPr>
          <w:rFonts w:ascii="Times New Roman" w:eastAsia="Times New Roman" w:hAnsi="Times New Roman" w:cs="Times New Roman"/>
          <w:sz w:val="24"/>
          <w:szCs w:val="24"/>
          <w:lang w:eastAsia="uk-UA"/>
        </w:rPr>
        <w:t>По 1 заяві підставам</w:t>
      </w:r>
      <w:r w:rsidR="00237DCF">
        <w:rPr>
          <w:rFonts w:ascii="Times New Roman" w:eastAsia="Times New Roman" w:hAnsi="Times New Roman" w:cs="Times New Roman"/>
          <w:sz w:val="24"/>
          <w:szCs w:val="24"/>
          <w:lang w:eastAsia="uk-UA"/>
        </w:rPr>
        <w:t xml:space="preserve">и для перегляду рішення за </w:t>
      </w:r>
      <w:proofErr w:type="spellStart"/>
      <w:r w:rsidR="00237DCF">
        <w:rPr>
          <w:rFonts w:ascii="Times New Roman" w:eastAsia="Times New Roman" w:hAnsi="Times New Roman" w:cs="Times New Roman"/>
          <w:sz w:val="24"/>
          <w:szCs w:val="24"/>
          <w:lang w:eastAsia="uk-UA"/>
        </w:rPr>
        <w:t>ново</w:t>
      </w:r>
      <w:r w:rsidR="00A60419">
        <w:rPr>
          <w:rFonts w:ascii="Times New Roman" w:eastAsia="Times New Roman" w:hAnsi="Times New Roman" w:cs="Times New Roman"/>
          <w:sz w:val="24"/>
          <w:szCs w:val="24"/>
          <w:lang w:eastAsia="uk-UA"/>
        </w:rPr>
        <w:t>виявленими</w:t>
      </w:r>
      <w:proofErr w:type="spellEnd"/>
      <w:r w:rsidR="00A60419">
        <w:rPr>
          <w:rFonts w:ascii="Times New Roman" w:eastAsia="Times New Roman" w:hAnsi="Times New Roman" w:cs="Times New Roman"/>
          <w:sz w:val="24"/>
          <w:szCs w:val="24"/>
          <w:lang w:eastAsia="uk-UA"/>
        </w:rPr>
        <w:t xml:space="preserve"> обставинами було скасування судового рішення, яке стало підставою для ухваленн</w:t>
      </w:r>
      <w:r w:rsidR="00237DCF">
        <w:rPr>
          <w:rFonts w:ascii="Times New Roman" w:eastAsia="Times New Roman" w:hAnsi="Times New Roman" w:cs="Times New Roman"/>
          <w:sz w:val="24"/>
          <w:szCs w:val="24"/>
          <w:lang w:eastAsia="uk-UA"/>
        </w:rPr>
        <w:t>я рішення, що підлягає перегляду</w:t>
      </w:r>
      <w:r w:rsidR="00A60419">
        <w:rPr>
          <w:rFonts w:ascii="Times New Roman" w:eastAsia="Times New Roman" w:hAnsi="Times New Roman" w:cs="Times New Roman"/>
          <w:sz w:val="24"/>
          <w:szCs w:val="24"/>
          <w:lang w:eastAsia="uk-UA"/>
        </w:rPr>
        <w:t xml:space="preserve">. </w:t>
      </w:r>
      <w:r w:rsidRPr="00CF3839">
        <w:rPr>
          <w:rFonts w:ascii="Times New Roman" w:eastAsia="Times New Roman" w:hAnsi="Times New Roman" w:cs="Times New Roman"/>
          <w:sz w:val="24"/>
          <w:szCs w:val="24"/>
          <w:lang w:eastAsia="uk-UA"/>
        </w:rPr>
        <w:t xml:space="preserve">За наслідками перегляду рішень за </w:t>
      </w:r>
      <w:proofErr w:type="spellStart"/>
      <w:r w:rsidRPr="00CF3839">
        <w:rPr>
          <w:rFonts w:ascii="Times New Roman" w:eastAsia="Times New Roman" w:hAnsi="Times New Roman" w:cs="Times New Roman"/>
          <w:sz w:val="24"/>
          <w:szCs w:val="24"/>
          <w:lang w:eastAsia="uk-UA"/>
        </w:rPr>
        <w:t>новови</w:t>
      </w:r>
      <w:r w:rsidR="00A60419">
        <w:rPr>
          <w:rFonts w:ascii="Times New Roman" w:eastAsia="Times New Roman" w:hAnsi="Times New Roman" w:cs="Times New Roman"/>
          <w:sz w:val="24"/>
          <w:szCs w:val="24"/>
          <w:lang w:eastAsia="uk-UA"/>
        </w:rPr>
        <w:t>явленими</w:t>
      </w:r>
      <w:proofErr w:type="spellEnd"/>
      <w:r w:rsidR="00A60419">
        <w:rPr>
          <w:rFonts w:ascii="Times New Roman" w:eastAsia="Times New Roman" w:hAnsi="Times New Roman" w:cs="Times New Roman"/>
          <w:sz w:val="24"/>
          <w:szCs w:val="24"/>
          <w:lang w:eastAsia="uk-UA"/>
        </w:rPr>
        <w:t xml:space="preserve"> обставинами скасовано 4 постанови/рішення</w:t>
      </w:r>
      <w:r w:rsidRPr="00CF3839">
        <w:rPr>
          <w:rFonts w:ascii="Times New Roman" w:eastAsia="Times New Roman" w:hAnsi="Times New Roman" w:cs="Times New Roman"/>
          <w:sz w:val="24"/>
          <w:szCs w:val="24"/>
          <w:lang w:eastAsia="uk-UA"/>
        </w:rPr>
        <w:t xml:space="preserve">. </w:t>
      </w:r>
    </w:p>
    <w:p w:rsidR="00CF3839" w:rsidRPr="00CF3839" w:rsidRDefault="00A60419" w:rsidP="00CF383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 2018</w:t>
      </w:r>
      <w:r w:rsidR="00CF3839" w:rsidRPr="00CF3839">
        <w:rPr>
          <w:rFonts w:ascii="Times New Roman" w:eastAsia="Times New Roman" w:hAnsi="Times New Roman" w:cs="Times New Roman"/>
          <w:sz w:val="24"/>
          <w:szCs w:val="24"/>
          <w:lang w:eastAsia="uk-UA"/>
        </w:rPr>
        <w:t xml:space="preserve"> році до суду надійшло 3 судові доручення з інших судів України, </w:t>
      </w:r>
      <w:r>
        <w:rPr>
          <w:rFonts w:ascii="Times New Roman" w:eastAsia="Times New Roman" w:hAnsi="Times New Roman" w:cs="Times New Roman"/>
          <w:sz w:val="24"/>
          <w:szCs w:val="24"/>
          <w:lang w:eastAsia="uk-UA"/>
        </w:rPr>
        <w:t>аналогічний показник був і у 2017 році</w:t>
      </w:r>
      <w:r w:rsidR="00CF3839" w:rsidRPr="00CF3839">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Усі судові доручення виконано.</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Крім того, у звітному періоді справи розглянуто:</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w:t>
      </w:r>
      <w:r w:rsidRPr="00CF3839">
        <w:rPr>
          <w:rFonts w:ascii="Times New Roman" w:eastAsia="Times New Roman" w:hAnsi="Times New Roman" w:cs="Times New Roman"/>
          <w:sz w:val="24"/>
          <w:szCs w:val="24"/>
          <w:lang w:eastAsia="uk-UA"/>
        </w:rPr>
        <w:tab/>
        <w:t xml:space="preserve"> під ч</w:t>
      </w:r>
      <w:r w:rsidR="00A60419">
        <w:rPr>
          <w:rFonts w:ascii="Times New Roman" w:eastAsia="Times New Roman" w:hAnsi="Times New Roman" w:cs="Times New Roman"/>
          <w:sz w:val="24"/>
          <w:szCs w:val="24"/>
          <w:lang w:eastAsia="uk-UA"/>
        </w:rPr>
        <w:t>ас підготовчого провадження - 332 справи, що у 3,7 разів більше ніж у 2017 року (89</w:t>
      </w:r>
      <w:r w:rsidRPr="00CF3839">
        <w:rPr>
          <w:rFonts w:ascii="Times New Roman" w:eastAsia="Times New Roman" w:hAnsi="Times New Roman" w:cs="Times New Roman"/>
          <w:sz w:val="24"/>
          <w:szCs w:val="24"/>
          <w:lang w:eastAsia="uk-UA"/>
        </w:rPr>
        <w:t>);</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w:t>
      </w:r>
      <w:r w:rsidRPr="00CF3839">
        <w:rPr>
          <w:rFonts w:ascii="Times New Roman" w:eastAsia="Times New Roman" w:hAnsi="Times New Roman" w:cs="Times New Roman"/>
          <w:sz w:val="24"/>
          <w:szCs w:val="24"/>
          <w:lang w:eastAsia="uk-UA"/>
        </w:rPr>
        <w:tab/>
        <w:t xml:space="preserve"> у поряд</w:t>
      </w:r>
      <w:r w:rsidR="00A60419">
        <w:rPr>
          <w:rFonts w:ascii="Times New Roman" w:eastAsia="Times New Roman" w:hAnsi="Times New Roman" w:cs="Times New Roman"/>
          <w:sz w:val="24"/>
          <w:szCs w:val="24"/>
          <w:lang w:eastAsia="uk-UA"/>
        </w:rPr>
        <w:t>ку письмового провадження  -  618 справ</w:t>
      </w:r>
      <w:r w:rsidRPr="00CF3839">
        <w:rPr>
          <w:rFonts w:ascii="Times New Roman" w:eastAsia="Times New Roman" w:hAnsi="Times New Roman" w:cs="Times New Roman"/>
          <w:sz w:val="24"/>
          <w:szCs w:val="24"/>
          <w:lang w:eastAsia="uk-UA"/>
        </w:rPr>
        <w:t xml:space="preserve">, що </w:t>
      </w:r>
      <w:r w:rsidR="00A60419">
        <w:rPr>
          <w:rFonts w:ascii="Times New Roman" w:eastAsia="Times New Roman" w:hAnsi="Times New Roman" w:cs="Times New Roman"/>
          <w:sz w:val="24"/>
          <w:szCs w:val="24"/>
          <w:lang w:eastAsia="uk-UA"/>
        </w:rPr>
        <w:t>у 12,6 разів більше ніж у  2017 році (49</w:t>
      </w:r>
      <w:r w:rsidRPr="00CF3839">
        <w:rPr>
          <w:rFonts w:ascii="Times New Roman" w:eastAsia="Times New Roman" w:hAnsi="Times New Roman" w:cs="Times New Roman"/>
          <w:sz w:val="24"/>
          <w:szCs w:val="24"/>
          <w:lang w:eastAsia="uk-UA"/>
        </w:rPr>
        <w:t>);</w:t>
      </w:r>
    </w:p>
    <w:p w:rsidR="00CF3839" w:rsidRPr="00CF3839" w:rsidRDefault="00A60419" w:rsidP="00CF383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ab/>
        <w:t xml:space="preserve"> у порядку спрощеного провадження - 932</w:t>
      </w:r>
      <w:r w:rsidR="00CF3839" w:rsidRPr="00CF3839">
        <w:rPr>
          <w:rFonts w:ascii="Times New Roman" w:eastAsia="Times New Roman" w:hAnsi="Times New Roman" w:cs="Times New Roman"/>
          <w:sz w:val="24"/>
          <w:szCs w:val="24"/>
          <w:lang w:eastAsia="uk-UA"/>
        </w:rPr>
        <w:t xml:space="preserve"> справ, що </w:t>
      </w:r>
      <w:r>
        <w:rPr>
          <w:rFonts w:ascii="Times New Roman" w:eastAsia="Times New Roman" w:hAnsi="Times New Roman" w:cs="Times New Roman"/>
          <w:sz w:val="24"/>
          <w:szCs w:val="24"/>
          <w:lang w:eastAsia="uk-UA"/>
        </w:rPr>
        <w:t>у 2 рази</w:t>
      </w:r>
      <w:r w:rsidR="00CF3839" w:rsidRPr="00CF3839">
        <w:rPr>
          <w:rFonts w:ascii="Times New Roman" w:eastAsia="Times New Roman" w:hAnsi="Times New Roman" w:cs="Times New Roman"/>
          <w:sz w:val="24"/>
          <w:szCs w:val="24"/>
          <w:lang w:eastAsia="uk-UA"/>
        </w:rPr>
        <w:t xml:space="preserve"> більше аналогічного звітн</w:t>
      </w:r>
      <w:r>
        <w:rPr>
          <w:rFonts w:ascii="Times New Roman" w:eastAsia="Times New Roman" w:hAnsi="Times New Roman" w:cs="Times New Roman"/>
          <w:sz w:val="24"/>
          <w:szCs w:val="24"/>
          <w:lang w:eastAsia="uk-UA"/>
        </w:rPr>
        <w:t>ого періоду 2017 року (462</w:t>
      </w:r>
      <w:r w:rsidR="00CF3839" w:rsidRPr="00CF3839">
        <w:rPr>
          <w:rFonts w:ascii="Times New Roman" w:eastAsia="Times New Roman" w:hAnsi="Times New Roman" w:cs="Times New Roman"/>
          <w:sz w:val="24"/>
          <w:szCs w:val="24"/>
          <w:lang w:eastAsia="uk-UA"/>
        </w:rPr>
        <w:t>);</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w:t>
      </w:r>
      <w:r w:rsidRPr="00CF3839">
        <w:rPr>
          <w:rFonts w:ascii="Times New Roman" w:eastAsia="Times New Roman" w:hAnsi="Times New Roman" w:cs="Times New Roman"/>
          <w:sz w:val="24"/>
          <w:szCs w:val="24"/>
          <w:lang w:eastAsia="uk-UA"/>
        </w:rPr>
        <w:tab/>
        <w:t xml:space="preserve"> із фіксуванням судового засі</w:t>
      </w:r>
      <w:r w:rsidR="00715EBE">
        <w:rPr>
          <w:rFonts w:ascii="Times New Roman" w:eastAsia="Times New Roman" w:hAnsi="Times New Roman" w:cs="Times New Roman"/>
          <w:sz w:val="24"/>
          <w:szCs w:val="24"/>
          <w:lang w:eastAsia="uk-UA"/>
        </w:rPr>
        <w:t>дання технічними засобами - 3437</w:t>
      </w:r>
      <w:r w:rsidRPr="00CF3839">
        <w:rPr>
          <w:rFonts w:ascii="Times New Roman" w:eastAsia="Times New Roman" w:hAnsi="Times New Roman" w:cs="Times New Roman"/>
          <w:sz w:val="24"/>
          <w:szCs w:val="24"/>
          <w:lang w:eastAsia="uk-UA"/>
        </w:rPr>
        <w:t xml:space="preserve">, що </w:t>
      </w:r>
      <w:r w:rsidR="00715EBE">
        <w:rPr>
          <w:rFonts w:ascii="Times New Roman" w:eastAsia="Times New Roman" w:hAnsi="Times New Roman" w:cs="Times New Roman"/>
          <w:sz w:val="24"/>
          <w:szCs w:val="24"/>
          <w:lang w:eastAsia="uk-UA"/>
        </w:rPr>
        <w:t>у 1,3 рази більше</w:t>
      </w:r>
      <w:r w:rsidRPr="00CF3839">
        <w:rPr>
          <w:rFonts w:ascii="Times New Roman" w:eastAsia="Times New Roman" w:hAnsi="Times New Roman" w:cs="Times New Roman"/>
          <w:sz w:val="24"/>
          <w:szCs w:val="24"/>
          <w:lang w:eastAsia="uk-UA"/>
        </w:rPr>
        <w:t xml:space="preserve"> порі</w:t>
      </w:r>
      <w:r w:rsidR="00715EBE">
        <w:rPr>
          <w:rFonts w:ascii="Times New Roman" w:eastAsia="Times New Roman" w:hAnsi="Times New Roman" w:cs="Times New Roman"/>
          <w:sz w:val="24"/>
          <w:szCs w:val="24"/>
          <w:lang w:eastAsia="uk-UA"/>
        </w:rPr>
        <w:t>вняно із 2017 роком (2578</w:t>
      </w:r>
      <w:r w:rsidRPr="00CF3839">
        <w:rPr>
          <w:rFonts w:ascii="Times New Roman" w:eastAsia="Times New Roman" w:hAnsi="Times New Roman" w:cs="Times New Roman"/>
          <w:sz w:val="24"/>
          <w:szCs w:val="24"/>
          <w:lang w:eastAsia="uk-UA"/>
        </w:rPr>
        <w:t>);</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w:t>
      </w:r>
      <w:r w:rsidRPr="00CF3839">
        <w:rPr>
          <w:rFonts w:ascii="Times New Roman" w:eastAsia="Times New Roman" w:hAnsi="Times New Roman" w:cs="Times New Roman"/>
          <w:sz w:val="24"/>
          <w:szCs w:val="24"/>
          <w:lang w:eastAsia="uk-UA"/>
        </w:rPr>
        <w:tab/>
        <w:t xml:space="preserve"> із використанням си</w:t>
      </w:r>
      <w:r w:rsidR="00715EBE">
        <w:rPr>
          <w:rFonts w:ascii="Times New Roman" w:eastAsia="Times New Roman" w:hAnsi="Times New Roman" w:cs="Times New Roman"/>
          <w:sz w:val="24"/>
          <w:szCs w:val="24"/>
          <w:lang w:eastAsia="uk-UA"/>
        </w:rPr>
        <w:t xml:space="preserve">стеми </w:t>
      </w:r>
      <w:proofErr w:type="spellStart"/>
      <w:r w:rsidR="00715EBE">
        <w:rPr>
          <w:rFonts w:ascii="Times New Roman" w:eastAsia="Times New Roman" w:hAnsi="Times New Roman" w:cs="Times New Roman"/>
          <w:sz w:val="24"/>
          <w:szCs w:val="24"/>
          <w:lang w:eastAsia="uk-UA"/>
        </w:rPr>
        <w:t>відеоконференцзв’язку</w:t>
      </w:r>
      <w:proofErr w:type="spellEnd"/>
      <w:r w:rsidR="00715EBE">
        <w:rPr>
          <w:rFonts w:ascii="Times New Roman" w:eastAsia="Times New Roman" w:hAnsi="Times New Roman" w:cs="Times New Roman"/>
          <w:sz w:val="24"/>
          <w:szCs w:val="24"/>
          <w:lang w:eastAsia="uk-UA"/>
        </w:rPr>
        <w:t xml:space="preserve"> - 41 справа, що 1,7 разів більше ніж у 2017 році</w:t>
      </w:r>
      <w:r w:rsidRPr="00CF3839">
        <w:rPr>
          <w:rFonts w:ascii="Times New Roman" w:eastAsia="Times New Roman" w:hAnsi="Times New Roman" w:cs="Times New Roman"/>
          <w:sz w:val="24"/>
          <w:szCs w:val="24"/>
          <w:lang w:eastAsia="uk-UA"/>
        </w:rPr>
        <w:t xml:space="preserve"> (</w:t>
      </w:r>
      <w:r w:rsidR="00715EBE">
        <w:rPr>
          <w:rFonts w:ascii="Times New Roman" w:eastAsia="Times New Roman" w:hAnsi="Times New Roman" w:cs="Times New Roman"/>
          <w:sz w:val="24"/>
          <w:szCs w:val="24"/>
          <w:lang w:eastAsia="uk-UA"/>
        </w:rPr>
        <w:t>24</w:t>
      </w:r>
      <w:r w:rsidRPr="00CF3839">
        <w:rPr>
          <w:rFonts w:ascii="Times New Roman" w:eastAsia="Times New Roman" w:hAnsi="Times New Roman" w:cs="Times New Roman"/>
          <w:sz w:val="24"/>
          <w:szCs w:val="24"/>
          <w:lang w:eastAsia="uk-UA"/>
        </w:rPr>
        <w:t>).</w:t>
      </w:r>
    </w:p>
    <w:p w:rsidR="00CF3839" w:rsidRP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lastRenderedPageBreak/>
        <w:t>На виявлені під час розгляду справ поруш</w:t>
      </w:r>
      <w:r w:rsidR="00AE13E2">
        <w:rPr>
          <w:rFonts w:ascii="Times New Roman" w:eastAsia="Times New Roman" w:hAnsi="Times New Roman" w:cs="Times New Roman"/>
          <w:sz w:val="24"/>
          <w:szCs w:val="24"/>
          <w:lang w:eastAsia="uk-UA"/>
        </w:rPr>
        <w:t>ення закону судом постановлено 7 окремих ухвал</w:t>
      </w:r>
      <w:r w:rsidRPr="00CF3839">
        <w:rPr>
          <w:rFonts w:ascii="Times New Roman" w:eastAsia="Times New Roman" w:hAnsi="Times New Roman" w:cs="Times New Roman"/>
          <w:sz w:val="24"/>
          <w:szCs w:val="24"/>
          <w:lang w:eastAsia="uk-UA"/>
        </w:rPr>
        <w:t>. Відта</w:t>
      </w:r>
      <w:r w:rsidR="00AE13E2">
        <w:rPr>
          <w:rFonts w:ascii="Times New Roman" w:eastAsia="Times New Roman" w:hAnsi="Times New Roman" w:cs="Times New Roman"/>
          <w:sz w:val="24"/>
          <w:szCs w:val="24"/>
          <w:lang w:eastAsia="uk-UA"/>
        </w:rPr>
        <w:t>к, у звітному періоді збільшилась</w:t>
      </w:r>
      <w:r w:rsidRPr="00CF3839">
        <w:rPr>
          <w:rFonts w:ascii="Times New Roman" w:eastAsia="Times New Roman" w:hAnsi="Times New Roman" w:cs="Times New Roman"/>
          <w:sz w:val="24"/>
          <w:szCs w:val="24"/>
          <w:lang w:eastAsia="uk-UA"/>
        </w:rPr>
        <w:t xml:space="preserve"> кількість </w:t>
      </w:r>
      <w:r w:rsidR="00AE13E2">
        <w:rPr>
          <w:rFonts w:ascii="Times New Roman" w:eastAsia="Times New Roman" w:hAnsi="Times New Roman" w:cs="Times New Roman"/>
          <w:sz w:val="24"/>
          <w:szCs w:val="24"/>
          <w:lang w:eastAsia="uk-UA"/>
        </w:rPr>
        <w:t>окремих ухвал, оскільки в 2017 році було постановлено 3 такі</w:t>
      </w:r>
      <w:r w:rsidRPr="00CF3839">
        <w:rPr>
          <w:rFonts w:ascii="Times New Roman" w:eastAsia="Times New Roman" w:hAnsi="Times New Roman" w:cs="Times New Roman"/>
          <w:sz w:val="24"/>
          <w:szCs w:val="24"/>
          <w:lang w:eastAsia="uk-UA"/>
        </w:rPr>
        <w:t xml:space="preserve"> ухвал</w:t>
      </w:r>
      <w:r w:rsidR="00AE13E2">
        <w:rPr>
          <w:rFonts w:ascii="Times New Roman" w:eastAsia="Times New Roman" w:hAnsi="Times New Roman" w:cs="Times New Roman"/>
          <w:sz w:val="24"/>
          <w:szCs w:val="24"/>
          <w:lang w:eastAsia="uk-UA"/>
        </w:rPr>
        <w:t>и</w:t>
      </w:r>
      <w:r w:rsidRPr="00CF3839">
        <w:rPr>
          <w:rFonts w:ascii="Times New Roman" w:eastAsia="Times New Roman" w:hAnsi="Times New Roman" w:cs="Times New Roman"/>
          <w:sz w:val="24"/>
          <w:szCs w:val="24"/>
          <w:lang w:eastAsia="uk-UA"/>
        </w:rPr>
        <w:t>.</w:t>
      </w:r>
    </w:p>
    <w:p w:rsidR="00CF3839" w:rsidRDefault="00CF3839" w:rsidP="00CF3839">
      <w:pPr>
        <w:widowControl w:val="0"/>
        <w:spacing w:after="0" w:line="0" w:lineRule="atLeast"/>
        <w:ind w:firstLine="780"/>
        <w:jc w:val="both"/>
        <w:rPr>
          <w:rFonts w:ascii="Times New Roman" w:eastAsia="Times New Roman" w:hAnsi="Times New Roman" w:cs="Times New Roman"/>
          <w:sz w:val="24"/>
          <w:szCs w:val="24"/>
          <w:lang w:eastAsia="uk-UA"/>
        </w:rPr>
      </w:pPr>
      <w:r w:rsidRPr="00CF3839">
        <w:rPr>
          <w:rFonts w:ascii="Times New Roman" w:eastAsia="Times New Roman" w:hAnsi="Times New Roman" w:cs="Times New Roman"/>
          <w:sz w:val="24"/>
          <w:szCs w:val="24"/>
          <w:lang w:eastAsia="uk-UA"/>
        </w:rPr>
        <w:t>Львівським окружним адміністративним судом у звітному періоді не розглядалися справи передбаченні статтею 185-3 Кодексу України про адміністративні правопорушення, аналогічна ситуація бул</w:t>
      </w:r>
      <w:r w:rsidR="00AE13E2">
        <w:rPr>
          <w:rFonts w:ascii="Times New Roman" w:eastAsia="Times New Roman" w:hAnsi="Times New Roman" w:cs="Times New Roman"/>
          <w:sz w:val="24"/>
          <w:szCs w:val="24"/>
          <w:lang w:eastAsia="uk-UA"/>
        </w:rPr>
        <w:t>а і в 2017</w:t>
      </w:r>
      <w:r w:rsidRPr="00CF3839">
        <w:rPr>
          <w:rFonts w:ascii="Times New Roman" w:eastAsia="Times New Roman" w:hAnsi="Times New Roman" w:cs="Times New Roman"/>
          <w:sz w:val="24"/>
          <w:szCs w:val="24"/>
          <w:lang w:eastAsia="uk-UA"/>
        </w:rPr>
        <w:t xml:space="preserve"> році.</w:t>
      </w:r>
    </w:p>
    <w:p w:rsidR="00752AFD" w:rsidRDefault="00752AFD" w:rsidP="00CF3839">
      <w:pPr>
        <w:widowControl w:val="0"/>
        <w:spacing w:after="0" w:line="0" w:lineRule="atLeast"/>
        <w:ind w:firstLine="78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період, що аналізується позивачами було пред’явлено до стягнення 157 851 981 грн., а присуджено до стягнення 116 935 014 грн. </w:t>
      </w:r>
    </w:p>
    <w:p w:rsidR="00A466BA" w:rsidRDefault="00A466BA" w:rsidP="00A466BA">
      <w:pPr>
        <w:pStyle w:val="ac"/>
        <w:ind w:firstLine="708"/>
        <w:jc w:val="both"/>
        <w:rPr>
          <w:b w:val="0"/>
          <w:noProof/>
          <w:sz w:val="24"/>
          <w:szCs w:val="24"/>
        </w:rPr>
      </w:pPr>
      <w:r>
        <w:rPr>
          <w:b w:val="0"/>
          <w:noProof/>
          <w:sz w:val="24"/>
          <w:szCs w:val="24"/>
        </w:rPr>
        <w:t>Показники звер</w:t>
      </w:r>
      <w:r w:rsidRPr="00573E95">
        <w:rPr>
          <w:b w:val="0"/>
          <w:noProof/>
          <w:sz w:val="24"/>
          <w:szCs w:val="24"/>
        </w:rPr>
        <w:t xml:space="preserve">нення до виконання рішень суду взято із звіту форми № </w:t>
      </w:r>
      <w:r>
        <w:rPr>
          <w:b w:val="0"/>
          <w:noProof/>
          <w:sz w:val="24"/>
          <w:szCs w:val="24"/>
        </w:rPr>
        <w:t>1-оас, оскільки звіт форми № 4 скасовано наказом ДСА України № 325 від 23.06.2018.</w:t>
      </w:r>
    </w:p>
    <w:p w:rsidR="00A466BA" w:rsidRDefault="00A466BA" w:rsidP="00A466BA">
      <w:pPr>
        <w:pStyle w:val="ac"/>
        <w:ind w:firstLine="708"/>
        <w:jc w:val="both"/>
        <w:rPr>
          <w:b w:val="0"/>
          <w:noProof/>
          <w:sz w:val="24"/>
          <w:szCs w:val="24"/>
          <w:lang w:val="ru-RU"/>
        </w:rPr>
      </w:pPr>
      <w:r>
        <w:rPr>
          <w:b w:val="0"/>
          <w:noProof/>
          <w:sz w:val="24"/>
          <w:szCs w:val="24"/>
        </w:rPr>
        <w:t>У звітному періоді 2018 року судом видано 3404 виконавчі листи</w:t>
      </w:r>
      <w:r>
        <w:rPr>
          <w:b w:val="0"/>
          <w:noProof/>
          <w:sz w:val="24"/>
          <w:szCs w:val="24"/>
          <w:lang w:val="ru-RU"/>
        </w:rPr>
        <w:t>, що на 62</w:t>
      </w:r>
      <w:r w:rsidRPr="00C61241">
        <w:rPr>
          <w:b w:val="0"/>
          <w:noProof/>
          <w:sz w:val="24"/>
          <w:szCs w:val="24"/>
          <w:lang w:val="ru-RU"/>
        </w:rPr>
        <w:t xml:space="preserve"> % більше порівн</w:t>
      </w:r>
      <w:r>
        <w:rPr>
          <w:b w:val="0"/>
          <w:noProof/>
          <w:sz w:val="24"/>
          <w:szCs w:val="24"/>
          <w:lang w:val="ru-RU"/>
        </w:rPr>
        <w:t>яно із аналогічним періодом 2017</w:t>
      </w:r>
      <w:r w:rsidRPr="00C61241">
        <w:rPr>
          <w:b w:val="0"/>
          <w:noProof/>
          <w:sz w:val="24"/>
          <w:szCs w:val="24"/>
          <w:lang w:val="ru-RU"/>
        </w:rPr>
        <w:t xml:space="preserve"> року</w:t>
      </w:r>
      <w:r>
        <w:rPr>
          <w:b w:val="0"/>
          <w:noProof/>
          <w:sz w:val="24"/>
          <w:szCs w:val="24"/>
          <w:lang w:val="ru-RU"/>
        </w:rPr>
        <w:t xml:space="preserve"> (2100)</w:t>
      </w:r>
      <w:r w:rsidRPr="00C61241">
        <w:rPr>
          <w:b w:val="0"/>
          <w:noProof/>
          <w:sz w:val="24"/>
          <w:szCs w:val="24"/>
          <w:lang w:val="ru-RU"/>
        </w:rPr>
        <w:t>.</w:t>
      </w:r>
    </w:p>
    <w:p w:rsidR="00A466BA" w:rsidRDefault="00A466BA" w:rsidP="00A466BA">
      <w:pPr>
        <w:pStyle w:val="ac"/>
        <w:ind w:firstLine="708"/>
        <w:jc w:val="both"/>
        <w:rPr>
          <w:b w:val="0"/>
          <w:noProof/>
          <w:sz w:val="24"/>
          <w:szCs w:val="24"/>
          <w:lang w:val="ru-RU"/>
        </w:rPr>
      </w:pPr>
      <w:r>
        <w:rPr>
          <w:b w:val="0"/>
          <w:noProof/>
          <w:sz w:val="24"/>
          <w:szCs w:val="24"/>
          <w:lang w:val="ru-RU"/>
        </w:rPr>
        <w:t>Тенденція видачі виконавчих листів за 2016-2018 роки наведена у наступному графіку.</w:t>
      </w:r>
    </w:p>
    <w:p w:rsidR="00A466BA" w:rsidRDefault="00A466BA" w:rsidP="00A466BA">
      <w:pPr>
        <w:pStyle w:val="ac"/>
        <w:ind w:firstLine="708"/>
        <w:jc w:val="both"/>
        <w:rPr>
          <w:b w:val="0"/>
          <w:noProof/>
          <w:sz w:val="24"/>
          <w:szCs w:val="24"/>
          <w:lang w:val="ru-RU"/>
        </w:rPr>
      </w:pPr>
    </w:p>
    <w:p w:rsidR="00A466BA" w:rsidRPr="00A466BA" w:rsidRDefault="00A466BA" w:rsidP="00A466BA">
      <w:pPr>
        <w:pStyle w:val="ac"/>
        <w:ind w:firstLine="708"/>
        <w:jc w:val="both"/>
        <w:rPr>
          <w:noProof/>
          <w:sz w:val="24"/>
          <w:szCs w:val="24"/>
          <w:lang w:val="ru-RU"/>
        </w:rPr>
      </w:pPr>
      <w:r w:rsidRPr="00A466BA">
        <w:rPr>
          <w:noProof/>
          <w:sz w:val="24"/>
          <w:szCs w:val="24"/>
          <w:lang w:eastAsia="uk-UA"/>
        </w:rPr>
        <w:drawing>
          <wp:inline distT="0" distB="0" distL="0" distR="0" wp14:anchorId="5C404F0A" wp14:editId="2A2510F8">
            <wp:extent cx="5486400" cy="2279176"/>
            <wp:effectExtent l="0" t="0" r="0" b="698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66BA" w:rsidRPr="00A466BA" w:rsidRDefault="00A466BA" w:rsidP="00CF3839">
      <w:pPr>
        <w:widowControl w:val="0"/>
        <w:spacing w:after="0" w:line="0" w:lineRule="atLeast"/>
        <w:ind w:firstLine="780"/>
        <w:jc w:val="both"/>
        <w:rPr>
          <w:rFonts w:ascii="Times New Roman" w:eastAsia="Times New Roman" w:hAnsi="Times New Roman" w:cs="Times New Roman"/>
          <w:sz w:val="24"/>
          <w:szCs w:val="24"/>
          <w:lang w:val="ru-RU" w:eastAsia="uk-UA"/>
        </w:rPr>
      </w:pPr>
    </w:p>
    <w:p w:rsidR="00A466BA" w:rsidRDefault="00A466BA" w:rsidP="00A466BA">
      <w:pPr>
        <w:pStyle w:val="ac"/>
        <w:ind w:firstLine="708"/>
        <w:jc w:val="both"/>
        <w:rPr>
          <w:b w:val="0"/>
          <w:noProof/>
          <w:sz w:val="24"/>
          <w:szCs w:val="24"/>
          <w:lang w:val="ru-RU"/>
        </w:rPr>
      </w:pPr>
      <w:r>
        <w:rPr>
          <w:b w:val="0"/>
          <w:noProof/>
          <w:sz w:val="24"/>
          <w:szCs w:val="24"/>
          <w:lang w:val="ru-RU"/>
        </w:rPr>
        <w:t>Загалом судом видано виконавчих листів на суму 99</w:t>
      </w:r>
      <w:r w:rsidR="001E2893">
        <w:rPr>
          <w:b w:val="0"/>
          <w:noProof/>
          <w:sz w:val="24"/>
          <w:szCs w:val="24"/>
          <w:lang w:val="ru-RU"/>
        </w:rPr>
        <w:t> </w:t>
      </w:r>
      <w:r>
        <w:rPr>
          <w:b w:val="0"/>
          <w:noProof/>
          <w:sz w:val="24"/>
          <w:szCs w:val="24"/>
          <w:lang w:val="ru-RU"/>
        </w:rPr>
        <w:t>929</w:t>
      </w:r>
      <w:r w:rsidR="001E2893">
        <w:rPr>
          <w:b w:val="0"/>
          <w:noProof/>
          <w:sz w:val="24"/>
          <w:szCs w:val="24"/>
          <w:lang w:val="ru-RU"/>
        </w:rPr>
        <w:t xml:space="preserve"> </w:t>
      </w:r>
      <w:r>
        <w:rPr>
          <w:b w:val="0"/>
          <w:noProof/>
          <w:sz w:val="24"/>
          <w:szCs w:val="24"/>
          <w:lang w:val="ru-RU"/>
        </w:rPr>
        <w:t>760</w:t>
      </w:r>
      <w:r w:rsidR="002E0783">
        <w:rPr>
          <w:b w:val="0"/>
          <w:noProof/>
          <w:sz w:val="24"/>
          <w:szCs w:val="24"/>
          <w:lang w:val="ru-RU"/>
        </w:rPr>
        <w:t xml:space="preserve"> грн.</w:t>
      </w:r>
      <w:r w:rsidR="00212F47">
        <w:rPr>
          <w:b w:val="0"/>
          <w:noProof/>
          <w:sz w:val="24"/>
          <w:szCs w:val="24"/>
          <w:lang w:val="ru-RU"/>
        </w:rPr>
        <w:t xml:space="preserve"> та про стягнення судового збору на суму 15 256 </w:t>
      </w:r>
      <w:r w:rsidR="002E0783">
        <w:rPr>
          <w:b w:val="0"/>
          <w:noProof/>
          <w:sz w:val="24"/>
          <w:szCs w:val="24"/>
          <w:lang w:val="ru-RU"/>
        </w:rPr>
        <w:t>984</w:t>
      </w:r>
      <w:r w:rsidR="00212F47">
        <w:rPr>
          <w:b w:val="0"/>
          <w:noProof/>
          <w:sz w:val="24"/>
          <w:szCs w:val="24"/>
          <w:lang w:val="ru-RU"/>
        </w:rPr>
        <w:t xml:space="preserve"> грн. </w:t>
      </w:r>
    </w:p>
    <w:p w:rsidR="00A466BA" w:rsidRPr="00C61241" w:rsidRDefault="00A466BA" w:rsidP="00A466BA">
      <w:pPr>
        <w:pStyle w:val="ac"/>
        <w:ind w:firstLine="708"/>
        <w:jc w:val="both"/>
        <w:rPr>
          <w:b w:val="0"/>
          <w:noProof/>
          <w:sz w:val="24"/>
          <w:szCs w:val="24"/>
          <w:lang w:val="ru-RU"/>
        </w:rPr>
      </w:pPr>
      <w:r>
        <w:rPr>
          <w:b w:val="0"/>
          <w:noProof/>
          <w:sz w:val="24"/>
          <w:szCs w:val="24"/>
          <w:lang w:val="ru-RU"/>
        </w:rPr>
        <w:t>Дані по сплаті судового збору відображаються у звіті форми № 10, у редакції затвердженій наказом Державної суд</w:t>
      </w:r>
      <w:r w:rsidR="00212F47">
        <w:rPr>
          <w:b w:val="0"/>
          <w:noProof/>
          <w:sz w:val="24"/>
          <w:szCs w:val="24"/>
          <w:lang w:val="ru-RU"/>
        </w:rPr>
        <w:t>ової адмінітсрації України № 108 від 13.03.2018</w:t>
      </w:r>
      <w:r>
        <w:rPr>
          <w:b w:val="0"/>
          <w:noProof/>
          <w:sz w:val="24"/>
          <w:szCs w:val="24"/>
          <w:lang w:val="ru-RU"/>
        </w:rPr>
        <w:t>.</w:t>
      </w:r>
    </w:p>
    <w:p w:rsidR="001E2893" w:rsidRDefault="00752AFD" w:rsidP="002E0783">
      <w:pPr>
        <w:pStyle w:val="ac"/>
        <w:ind w:firstLine="360"/>
        <w:jc w:val="both"/>
        <w:rPr>
          <w:b w:val="0"/>
          <w:noProof/>
          <w:sz w:val="24"/>
          <w:szCs w:val="24"/>
        </w:rPr>
      </w:pPr>
      <w:r>
        <w:rPr>
          <w:b w:val="0"/>
          <w:noProof/>
          <w:sz w:val="24"/>
          <w:szCs w:val="24"/>
        </w:rPr>
        <w:t>Сума фактично сплаченого судового збору в 2018 році складає 24 912 739 грн.,</w:t>
      </w:r>
      <w:r w:rsidR="001E2893">
        <w:rPr>
          <w:b w:val="0"/>
          <w:noProof/>
          <w:sz w:val="24"/>
          <w:szCs w:val="24"/>
        </w:rPr>
        <w:t xml:space="preserve"> що на 5 769 506 грн. більше  порівняно із 2017 роком ( 19 143 233 грн.)</w:t>
      </w:r>
    </w:p>
    <w:p w:rsidR="001E2893" w:rsidRDefault="001E2893" w:rsidP="001E2893">
      <w:pPr>
        <w:pStyle w:val="ac"/>
        <w:ind w:firstLine="360"/>
        <w:jc w:val="both"/>
        <w:rPr>
          <w:b w:val="0"/>
          <w:noProof/>
          <w:sz w:val="24"/>
          <w:szCs w:val="24"/>
        </w:rPr>
      </w:pPr>
      <w:r>
        <w:rPr>
          <w:b w:val="0"/>
          <w:noProof/>
          <w:sz w:val="24"/>
          <w:szCs w:val="24"/>
        </w:rPr>
        <w:t xml:space="preserve"> С</w:t>
      </w:r>
      <w:r w:rsidR="00752AFD">
        <w:rPr>
          <w:b w:val="0"/>
          <w:noProof/>
          <w:sz w:val="24"/>
          <w:szCs w:val="24"/>
        </w:rPr>
        <w:t xml:space="preserve">ума </w:t>
      </w:r>
      <w:r w:rsidR="00DC0041">
        <w:rPr>
          <w:b w:val="0"/>
          <w:noProof/>
          <w:sz w:val="24"/>
          <w:szCs w:val="24"/>
        </w:rPr>
        <w:t xml:space="preserve"> судового збору, що не сплачений</w:t>
      </w:r>
      <w:r>
        <w:rPr>
          <w:b w:val="0"/>
          <w:noProof/>
          <w:sz w:val="24"/>
          <w:szCs w:val="24"/>
        </w:rPr>
        <w:t xml:space="preserve"> внаслідок </w:t>
      </w:r>
      <w:r w:rsidR="00DC0041">
        <w:rPr>
          <w:b w:val="0"/>
          <w:noProof/>
          <w:sz w:val="24"/>
          <w:szCs w:val="24"/>
        </w:rPr>
        <w:t>пільг встановлених чинним законодавством</w:t>
      </w:r>
      <w:r>
        <w:rPr>
          <w:b w:val="0"/>
          <w:noProof/>
          <w:sz w:val="24"/>
          <w:szCs w:val="24"/>
        </w:rPr>
        <w:t xml:space="preserve"> у 2018 році становить 534 300 грн., що на 15 069 751 грн. менше  порівняно із 2017 роком ( 15 604 051 грн.)</w:t>
      </w:r>
      <w:r w:rsidR="00DC0041">
        <w:rPr>
          <w:b w:val="0"/>
          <w:noProof/>
          <w:sz w:val="24"/>
          <w:szCs w:val="24"/>
        </w:rPr>
        <w:t xml:space="preserve"> </w:t>
      </w:r>
      <w:r>
        <w:rPr>
          <w:b w:val="0"/>
          <w:noProof/>
          <w:sz w:val="24"/>
          <w:szCs w:val="24"/>
        </w:rPr>
        <w:t xml:space="preserve"> </w:t>
      </w:r>
      <w:r w:rsidR="00DC0041">
        <w:rPr>
          <w:b w:val="0"/>
          <w:noProof/>
          <w:sz w:val="24"/>
          <w:szCs w:val="24"/>
        </w:rPr>
        <w:t xml:space="preserve">Вказаний показник значно скоротився, оскільки у 2018 році було позбавлено пільг по сплаті судового збору органи </w:t>
      </w:r>
      <w:r w:rsidR="00DC0041" w:rsidRPr="00DC0041">
        <w:rPr>
          <w:b w:val="0"/>
          <w:noProof/>
          <w:sz w:val="24"/>
          <w:szCs w:val="24"/>
        </w:rPr>
        <w:t>Пенсійного фонду України, органи Фонду загальнообов'язкового державного соціального страхування на випадок безробіття та Фонду соціального страхування України.</w:t>
      </w:r>
    </w:p>
    <w:p w:rsidR="002E0783" w:rsidRDefault="002E0783" w:rsidP="002E0783">
      <w:pPr>
        <w:pStyle w:val="ac"/>
        <w:ind w:firstLine="360"/>
        <w:jc w:val="both"/>
        <w:rPr>
          <w:b w:val="0"/>
          <w:noProof/>
          <w:sz w:val="24"/>
          <w:szCs w:val="24"/>
        </w:rPr>
      </w:pPr>
    </w:p>
    <w:p w:rsidR="00A466BA" w:rsidRDefault="00A466BA" w:rsidP="00207F89">
      <w:pPr>
        <w:widowControl w:val="0"/>
        <w:spacing w:after="0" w:line="0" w:lineRule="atLeast"/>
        <w:ind w:firstLine="780"/>
        <w:jc w:val="both"/>
        <w:rPr>
          <w:rFonts w:ascii="Times New Roman" w:eastAsia="Times New Roman" w:hAnsi="Times New Roman" w:cs="Times New Roman"/>
          <w:sz w:val="24"/>
          <w:szCs w:val="24"/>
          <w:lang w:eastAsia="uk-UA"/>
        </w:rPr>
      </w:pPr>
    </w:p>
    <w:p w:rsidR="00207F89" w:rsidRPr="002D282B" w:rsidRDefault="00207F89" w:rsidP="00CB17EE">
      <w:pPr>
        <w:pStyle w:val="ac"/>
        <w:rPr>
          <w:noProof/>
        </w:rPr>
      </w:pPr>
      <w:r w:rsidRPr="002D282B">
        <w:rPr>
          <w:rFonts w:eastAsia="Times New Roman"/>
          <w:color w:val="000000"/>
          <w:sz w:val="24"/>
          <w:szCs w:val="24"/>
          <w:lang w:eastAsia="uk-UA" w:bidi="uk-UA"/>
        </w:rPr>
        <w:t>ІІІ.</w:t>
      </w:r>
      <w:r w:rsidR="002D282B" w:rsidRPr="002D282B">
        <w:rPr>
          <w:rFonts w:eastAsia="Times New Roman"/>
          <w:color w:val="000000"/>
          <w:sz w:val="24"/>
          <w:szCs w:val="24"/>
          <w:lang w:eastAsia="uk-UA" w:bidi="uk-UA"/>
        </w:rPr>
        <w:t xml:space="preserve"> </w:t>
      </w:r>
      <w:r w:rsidR="00CB17EE">
        <w:rPr>
          <w:noProof/>
        </w:rPr>
        <w:t>Якісні</w:t>
      </w:r>
      <w:r w:rsidR="002D282B" w:rsidRPr="002D282B">
        <w:rPr>
          <w:noProof/>
        </w:rPr>
        <w:t xml:space="preserve"> показники </w:t>
      </w:r>
      <w:r w:rsidR="00CB17EE">
        <w:rPr>
          <w:noProof/>
        </w:rPr>
        <w:t>роботи суду</w:t>
      </w:r>
    </w:p>
    <w:p w:rsidR="00990391" w:rsidRDefault="00990391" w:rsidP="00661BF1">
      <w:pPr>
        <w:widowControl w:val="0"/>
        <w:spacing w:after="0" w:line="0" w:lineRule="atLeast"/>
        <w:rPr>
          <w:rFonts w:ascii="Times New Roman" w:eastAsia="Times New Roman" w:hAnsi="Times New Roman" w:cs="Times New Roman"/>
          <w:b/>
          <w:color w:val="000000"/>
          <w:sz w:val="24"/>
          <w:szCs w:val="24"/>
          <w:lang w:eastAsia="uk-UA" w:bidi="uk-UA"/>
        </w:rPr>
      </w:pPr>
    </w:p>
    <w:p w:rsidR="00A53ABD" w:rsidRPr="00A53ABD" w:rsidRDefault="00A53ABD" w:rsidP="002D282B">
      <w:pPr>
        <w:spacing w:after="0" w:line="0" w:lineRule="atLeast"/>
        <w:ind w:firstLine="709"/>
        <w:jc w:val="both"/>
        <w:rPr>
          <w:rFonts w:ascii="Times New Roman" w:hAnsi="Times New Roman" w:cs="Times New Roman"/>
          <w:sz w:val="24"/>
          <w:szCs w:val="24"/>
        </w:rPr>
      </w:pPr>
      <w:r w:rsidRPr="00A53ABD">
        <w:rPr>
          <w:rFonts w:ascii="Times New Roman" w:hAnsi="Times New Roman" w:cs="Times New Roman"/>
          <w:sz w:val="24"/>
          <w:szCs w:val="24"/>
        </w:rPr>
        <w:t>У «Системі оцінювання роботи суду: стандарти, критерії, показники та методи» (СОРС), затвердженій рішенням Ради суддів Укра</w:t>
      </w:r>
      <w:r w:rsidR="00333430">
        <w:rPr>
          <w:rFonts w:ascii="Times New Roman" w:hAnsi="Times New Roman" w:cs="Times New Roman"/>
          <w:sz w:val="24"/>
          <w:szCs w:val="24"/>
        </w:rPr>
        <w:t>їни від 2 квітня 2015 року № 28</w:t>
      </w:r>
      <w:r w:rsidRPr="00A53ABD">
        <w:rPr>
          <w:rFonts w:ascii="Times New Roman" w:hAnsi="Times New Roman" w:cs="Times New Roman"/>
          <w:sz w:val="24"/>
          <w:szCs w:val="24"/>
        </w:rPr>
        <w:t xml:space="preserve"> для розробки системи </w:t>
      </w:r>
      <w:r w:rsidRPr="002D282B">
        <w:rPr>
          <w:rFonts w:ascii="Times New Roman" w:hAnsi="Times New Roman" w:cs="Times New Roman"/>
          <w:sz w:val="24"/>
          <w:szCs w:val="24"/>
        </w:rPr>
        <w:t>оцінки та моніторингу якості правосуддя і функціонування суддів</w:t>
      </w:r>
      <w:r w:rsidR="00333430">
        <w:rPr>
          <w:rFonts w:ascii="Times New Roman" w:hAnsi="Times New Roman" w:cs="Times New Roman"/>
          <w:sz w:val="24"/>
          <w:szCs w:val="24"/>
        </w:rPr>
        <w:t>,</w:t>
      </w:r>
      <w:r w:rsidRPr="002D282B">
        <w:rPr>
          <w:rFonts w:ascii="Times New Roman" w:hAnsi="Times New Roman" w:cs="Times New Roman"/>
          <w:sz w:val="24"/>
          <w:szCs w:val="24"/>
        </w:rPr>
        <w:t xml:space="preserve"> </w:t>
      </w:r>
      <w:r w:rsidR="002D282B" w:rsidRPr="002D282B">
        <w:rPr>
          <w:rFonts w:ascii="Times New Roman" w:hAnsi="Times New Roman" w:cs="Times New Roman"/>
          <w:sz w:val="24"/>
          <w:szCs w:val="24"/>
        </w:rPr>
        <w:t>взято за основу показник «відсоток розгляду».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досконалість суду. Відсоток розгляду – це кількість розглянутих справ і матеріалів за звітний період, поділена на кількість нових справ і матеріалів, що надійшли за звітний період, та помножена на 100 відсотків.</w:t>
      </w:r>
      <w:r w:rsidR="002D282B">
        <w:rPr>
          <w:rFonts w:ascii="Times New Roman" w:hAnsi="Times New Roman" w:cs="Times New Roman"/>
          <w:sz w:val="24"/>
          <w:szCs w:val="24"/>
        </w:rPr>
        <w:t xml:space="preserve"> Ц</w:t>
      </w:r>
      <w:r w:rsidRPr="002D282B">
        <w:rPr>
          <w:rFonts w:ascii="Times New Roman" w:hAnsi="Times New Roman" w:cs="Times New Roman"/>
          <w:sz w:val="24"/>
          <w:szCs w:val="24"/>
        </w:rPr>
        <w:t>ей показник запропоновано використовувати як один із доцільних і об’єктивних</w:t>
      </w:r>
      <w:r w:rsidRPr="00A53ABD">
        <w:rPr>
          <w:rFonts w:ascii="Times New Roman" w:hAnsi="Times New Roman" w:cs="Times New Roman"/>
          <w:sz w:val="24"/>
          <w:szCs w:val="24"/>
        </w:rPr>
        <w:t xml:space="preserve"> показників, який дає можливість оцінити, наскільки успішно суд працює над розглядом справ.</w:t>
      </w:r>
    </w:p>
    <w:p w:rsidR="00A53ABD" w:rsidRPr="00A53ABD" w:rsidRDefault="00A53ABD" w:rsidP="002D282B">
      <w:pPr>
        <w:spacing w:after="0" w:line="0" w:lineRule="atLeast"/>
        <w:ind w:firstLine="709"/>
        <w:jc w:val="both"/>
        <w:rPr>
          <w:rFonts w:ascii="Times New Roman" w:hAnsi="Times New Roman" w:cs="Times New Roman"/>
          <w:sz w:val="24"/>
          <w:szCs w:val="24"/>
        </w:rPr>
      </w:pPr>
      <w:r w:rsidRPr="00A53ABD">
        <w:rPr>
          <w:rFonts w:ascii="Times New Roman" w:hAnsi="Times New Roman" w:cs="Times New Roman"/>
          <w:sz w:val="24"/>
          <w:szCs w:val="24"/>
        </w:rPr>
        <w:t>За оцінками Європейської комісії з ефективності правосуддя (</w:t>
      </w:r>
      <w:r w:rsidR="00333430">
        <w:rPr>
          <w:rFonts w:ascii="Times New Roman" w:hAnsi="Times New Roman" w:cs="Times New Roman"/>
          <w:sz w:val="24"/>
          <w:szCs w:val="24"/>
        </w:rPr>
        <w:t xml:space="preserve">далі - </w:t>
      </w:r>
      <w:r w:rsidRPr="00A53ABD">
        <w:rPr>
          <w:rFonts w:ascii="Times New Roman" w:hAnsi="Times New Roman" w:cs="Times New Roman"/>
          <w:sz w:val="24"/>
          <w:szCs w:val="24"/>
          <w:lang w:val="en-US"/>
        </w:rPr>
        <w:t>CEPEJ</w:t>
      </w:r>
      <w:r w:rsidRPr="00A53ABD">
        <w:rPr>
          <w:rFonts w:ascii="Times New Roman" w:hAnsi="Times New Roman" w:cs="Times New Roman"/>
          <w:sz w:val="24"/>
          <w:szCs w:val="24"/>
        </w:rPr>
        <w:t xml:space="preserve">) цей показник є найбільш інформативним для визначення ефективності діяльності суду, адже він дає </w:t>
      </w:r>
      <w:r w:rsidRPr="00A53ABD">
        <w:rPr>
          <w:rFonts w:ascii="Times New Roman" w:hAnsi="Times New Roman" w:cs="Times New Roman"/>
          <w:sz w:val="24"/>
          <w:szCs w:val="24"/>
        </w:rPr>
        <w:lastRenderedPageBreak/>
        <w:t xml:space="preserve">можливість отримати уявлення про здатність суду забезпечувати раціональне планування і розподіл ресурсів з метою своєчасного розгляду справ за умови нерівномірності їх надходження і відсутності додаткових ресурсів. Вітчизняні суди мають виходити з рекомендацій </w:t>
      </w:r>
      <w:r w:rsidRPr="00A53ABD">
        <w:rPr>
          <w:rFonts w:ascii="Times New Roman" w:hAnsi="Times New Roman" w:cs="Times New Roman"/>
          <w:sz w:val="24"/>
          <w:szCs w:val="24"/>
          <w:lang w:val="en-US"/>
        </w:rPr>
        <w:t>CEPEJ</w:t>
      </w:r>
      <w:r w:rsidRPr="00A53ABD">
        <w:rPr>
          <w:rFonts w:ascii="Times New Roman" w:hAnsi="Times New Roman" w:cs="Times New Roman"/>
          <w:sz w:val="24"/>
          <w:szCs w:val="24"/>
        </w:rPr>
        <w:t>, які базуються на узагальненні практики в різних європейських країнах. Ці рекомендації фактично встановлюють стандарт, з яким має пор</w:t>
      </w:r>
      <w:r w:rsidR="00333430">
        <w:rPr>
          <w:rFonts w:ascii="Times New Roman" w:hAnsi="Times New Roman" w:cs="Times New Roman"/>
          <w:sz w:val="24"/>
          <w:szCs w:val="24"/>
        </w:rPr>
        <w:t>івнюватись фактичний показник:</w:t>
      </w:r>
      <w:r w:rsidRPr="00A53ABD">
        <w:rPr>
          <w:rFonts w:ascii="Times New Roman" w:hAnsi="Times New Roman" w:cs="Times New Roman"/>
          <w:sz w:val="24"/>
          <w:szCs w:val="24"/>
        </w:rPr>
        <w:t xml:space="preserve"> 84% і нижче – чітка ознака неналежної організації роботи суду, що потребує не</w:t>
      </w:r>
      <w:r w:rsidR="00333430">
        <w:rPr>
          <w:rFonts w:ascii="Times New Roman" w:hAnsi="Times New Roman" w:cs="Times New Roman"/>
          <w:sz w:val="24"/>
          <w:szCs w:val="24"/>
        </w:rPr>
        <w:t>відкладного реагування;</w:t>
      </w:r>
      <w:r w:rsidRPr="00A53ABD">
        <w:rPr>
          <w:rFonts w:ascii="Times New Roman" w:hAnsi="Times New Roman" w:cs="Times New Roman"/>
          <w:sz w:val="24"/>
          <w:szCs w:val="24"/>
        </w:rPr>
        <w:t xml:space="preserve"> 85-95% - свідчит</w:t>
      </w:r>
      <w:r w:rsidR="00333430">
        <w:rPr>
          <w:rFonts w:ascii="Times New Roman" w:hAnsi="Times New Roman" w:cs="Times New Roman"/>
          <w:sz w:val="24"/>
          <w:szCs w:val="24"/>
        </w:rPr>
        <w:t>ь про існування певних проблем у</w:t>
      </w:r>
      <w:r w:rsidRPr="00A53ABD">
        <w:rPr>
          <w:rFonts w:ascii="Times New Roman" w:hAnsi="Times New Roman" w:cs="Times New Roman"/>
          <w:sz w:val="24"/>
          <w:szCs w:val="24"/>
        </w:rPr>
        <w:t xml:space="preserve"> роботі суду, які можуть мати негативні наслідки в найближчій перспективі; 96-102% - оптимальний рівень роботи суду (мінімально прийнятний рівень); 103% і більше – передова практика, свідчення дуже ефективної організації роботи суду. Проте значення показника понад 120% свідчить про значний попередній залишок справ та певне відставання в роботі суду з розгляду справ у минулому. </w:t>
      </w:r>
    </w:p>
    <w:p w:rsidR="00237DCF" w:rsidRDefault="00A53ABD" w:rsidP="00DC0041">
      <w:pPr>
        <w:pStyle w:val="ac"/>
        <w:spacing w:line="0" w:lineRule="atLeast"/>
        <w:ind w:firstLine="708"/>
        <w:jc w:val="both"/>
        <w:rPr>
          <w:b w:val="0"/>
          <w:noProof/>
          <w:sz w:val="24"/>
          <w:szCs w:val="24"/>
        </w:rPr>
      </w:pPr>
      <w:r w:rsidRPr="00A53ABD">
        <w:rPr>
          <w:b w:val="0"/>
          <w:noProof/>
          <w:sz w:val="24"/>
          <w:szCs w:val="24"/>
        </w:rPr>
        <w:t>Відповідно до рішення Ради суддів України від 2 квітня 2015 року № 28 цей показник як відсоток розгляду справ є одним із базових показників роботи суду в сист</w:t>
      </w:r>
      <w:r w:rsidR="00333430">
        <w:rPr>
          <w:b w:val="0"/>
          <w:noProof/>
          <w:sz w:val="24"/>
          <w:szCs w:val="24"/>
        </w:rPr>
        <w:t>емі оцінювання його діяльності. Також</w:t>
      </w:r>
      <w:r w:rsidRPr="00A53ABD">
        <w:rPr>
          <w:b w:val="0"/>
          <w:noProof/>
          <w:sz w:val="24"/>
          <w:szCs w:val="24"/>
        </w:rPr>
        <w:t xml:space="preserve"> цей показник</w:t>
      </w:r>
      <w:r w:rsidR="002D282B">
        <w:rPr>
          <w:b w:val="0"/>
          <w:noProof/>
          <w:sz w:val="24"/>
          <w:szCs w:val="24"/>
        </w:rPr>
        <w:t xml:space="preserve"> присутній у звіті форми № 1-оас</w:t>
      </w:r>
      <w:r w:rsidRPr="00A53ABD">
        <w:rPr>
          <w:b w:val="0"/>
          <w:noProof/>
          <w:sz w:val="24"/>
          <w:szCs w:val="24"/>
        </w:rPr>
        <w:t xml:space="preserve">, затвердженому наказом Державної судової адміністрації України від 09.03.2017 № 311. </w:t>
      </w:r>
    </w:p>
    <w:p w:rsidR="00573E95" w:rsidRPr="00DC0041" w:rsidRDefault="00A53ABD" w:rsidP="00DC0041">
      <w:pPr>
        <w:pStyle w:val="ac"/>
        <w:spacing w:line="0" w:lineRule="atLeast"/>
        <w:ind w:firstLine="708"/>
        <w:jc w:val="both"/>
        <w:rPr>
          <w:b w:val="0"/>
          <w:noProof/>
          <w:sz w:val="24"/>
          <w:szCs w:val="24"/>
        </w:rPr>
      </w:pPr>
      <w:r w:rsidRPr="00A53ABD">
        <w:rPr>
          <w:b w:val="0"/>
          <w:noProof/>
          <w:sz w:val="24"/>
          <w:szCs w:val="24"/>
        </w:rPr>
        <w:t>У</w:t>
      </w:r>
      <w:r w:rsidR="002D282B">
        <w:rPr>
          <w:b w:val="0"/>
          <w:noProof/>
          <w:sz w:val="24"/>
          <w:szCs w:val="24"/>
        </w:rPr>
        <w:t xml:space="preserve"> звітному періоді</w:t>
      </w:r>
      <w:r w:rsidRPr="00A53ABD">
        <w:rPr>
          <w:b w:val="0"/>
          <w:noProof/>
          <w:sz w:val="24"/>
          <w:szCs w:val="24"/>
        </w:rPr>
        <w:t xml:space="preserve"> відсоток розгляду справ </w:t>
      </w:r>
      <w:r w:rsidR="002D282B">
        <w:rPr>
          <w:b w:val="0"/>
          <w:noProof/>
          <w:sz w:val="24"/>
          <w:szCs w:val="24"/>
        </w:rPr>
        <w:t xml:space="preserve">в </w:t>
      </w:r>
      <w:r w:rsidR="00DC0041">
        <w:rPr>
          <w:b w:val="0"/>
          <w:noProof/>
          <w:sz w:val="24"/>
          <w:szCs w:val="24"/>
        </w:rPr>
        <w:t xml:space="preserve">Львівському окружному адміністративному </w:t>
      </w:r>
      <w:r w:rsidR="002D282B">
        <w:rPr>
          <w:b w:val="0"/>
          <w:noProof/>
          <w:sz w:val="24"/>
          <w:szCs w:val="24"/>
        </w:rPr>
        <w:t xml:space="preserve">суді </w:t>
      </w:r>
      <w:r w:rsidRPr="00A53ABD">
        <w:rPr>
          <w:b w:val="0"/>
          <w:noProof/>
          <w:sz w:val="24"/>
          <w:szCs w:val="24"/>
        </w:rPr>
        <w:t xml:space="preserve">становив </w:t>
      </w:r>
      <w:r w:rsidR="00BD7627">
        <w:rPr>
          <w:b w:val="0"/>
          <w:noProof/>
          <w:sz w:val="24"/>
          <w:szCs w:val="24"/>
        </w:rPr>
        <w:t>99</w:t>
      </w:r>
      <w:r w:rsidR="002D282B" w:rsidRPr="002D282B">
        <w:rPr>
          <w:b w:val="0"/>
          <w:noProof/>
          <w:sz w:val="24"/>
          <w:szCs w:val="24"/>
        </w:rPr>
        <w:t xml:space="preserve"> %</w:t>
      </w:r>
      <w:r w:rsidR="00BD7627">
        <w:rPr>
          <w:b w:val="0"/>
          <w:noProof/>
          <w:sz w:val="24"/>
          <w:szCs w:val="24"/>
        </w:rPr>
        <w:t xml:space="preserve">, </w:t>
      </w:r>
      <w:r w:rsidR="00DC0041">
        <w:rPr>
          <w:b w:val="0"/>
          <w:noProof/>
          <w:sz w:val="24"/>
          <w:szCs w:val="24"/>
        </w:rPr>
        <w:t>що вказує на хороший показник ефективності суду. У 2017 році цей показник становив 91 %.</w:t>
      </w:r>
    </w:p>
    <w:p w:rsidR="00DC0041"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Статистичні показники про стан здійснення судочинства судом свідчать про те, що робота суду здійснювала</w:t>
      </w:r>
      <w:r w:rsidR="009F0485">
        <w:rPr>
          <w:rFonts w:ascii="Times New Roman" w:eastAsia="Times New Roman" w:hAnsi="Times New Roman" w:cs="Times New Roman"/>
          <w:color w:val="000000"/>
          <w:sz w:val="24"/>
          <w:szCs w:val="24"/>
          <w:lang w:eastAsia="uk-UA" w:bidi="uk-UA"/>
        </w:rPr>
        <w:t>ся в ум</w:t>
      </w:r>
      <w:r w:rsidR="00DC7A06">
        <w:rPr>
          <w:rFonts w:ascii="Times New Roman" w:eastAsia="Times New Roman" w:hAnsi="Times New Roman" w:cs="Times New Roman"/>
          <w:color w:val="000000"/>
          <w:sz w:val="24"/>
          <w:szCs w:val="24"/>
          <w:lang w:eastAsia="uk-UA" w:bidi="uk-UA"/>
        </w:rPr>
        <w:t>овах збільшеного</w:t>
      </w:r>
      <w:r w:rsidRPr="00207F89">
        <w:rPr>
          <w:rFonts w:ascii="Times New Roman" w:eastAsia="Times New Roman" w:hAnsi="Times New Roman" w:cs="Times New Roman"/>
          <w:color w:val="000000"/>
          <w:sz w:val="24"/>
          <w:szCs w:val="24"/>
          <w:lang w:eastAsia="uk-UA" w:bidi="uk-UA"/>
        </w:rPr>
        <w:t xml:space="preserve"> навантаження. Водночас при збільшенні надходження позовних заяв суд не допустив погіршення роботи за основними показниками. Це стосується кількості розглянутих справ та якості їх розгляду</w:t>
      </w:r>
      <w:r w:rsidR="00DC0041">
        <w:rPr>
          <w:rFonts w:ascii="Times New Roman" w:eastAsia="Times New Roman" w:hAnsi="Times New Roman" w:cs="Times New Roman"/>
          <w:color w:val="000000"/>
          <w:sz w:val="24"/>
          <w:szCs w:val="24"/>
          <w:lang w:eastAsia="uk-UA" w:bidi="uk-UA"/>
        </w:rPr>
        <w:t>.</w:t>
      </w:r>
    </w:p>
    <w:p w:rsidR="00207F89" w:rsidRP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Необхідно відзначити, що організація роботи суду має тенденцію до постійного вдосконалення.</w:t>
      </w:r>
      <w:r w:rsidR="00A443C8">
        <w:rPr>
          <w:rFonts w:ascii="Times New Roman" w:eastAsia="Times New Roman" w:hAnsi="Times New Roman" w:cs="Times New Roman"/>
          <w:color w:val="000000"/>
          <w:sz w:val="24"/>
          <w:szCs w:val="24"/>
          <w:lang w:eastAsia="uk-UA" w:bidi="uk-UA"/>
        </w:rPr>
        <w:t xml:space="preserve"> Протягом 2018 року щомісяця проводилися моніторинги строків відкриття проваджень у справах та строків розгляду справ. Постійно здійснювався аналіз скасованих</w:t>
      </w:r>
      <w:r w:rsidR="00237DCF">
        <w:rPr>
          <w:rFonts w:ascii="Times New Roman" w:eastAsia="Times New Roman" w:hAnsi="Times New Roman" w:cs="Times New Roman"/>
          <w:color w:val="000000"/>
          <w:sz w:val="24"/>
          <w:szCs w:val="24"/>
          <w:lang w:eastAsia="uk-UA" w:bidi="uk-UA"/>
        </w:rPr>
        <w:t xml:space="preserve"> та змінених</w:t>
      </w:r>
      <w:r w:rsidR="00A443C8">
        <w:rPr>
          <w:rFonts w:ascii="Times New Roman" w:eastAsia="Times New Roman" w:hAnsi="Times New Roman" w:cs="Times New Roman"/>
          <w:color w:val="000000"/>
          <w:sz w:val="24"/>
          <w:szCs w:val="24"/>
          <w:lang w:eastAsia="uk-UA" w:bidi="uk-UA"/>
        </w:rPr>
        <w:t xml:space="preserve"> рішень Львівського окружного адміністративного суду апеляційною та касаційною інстанціями. Скасовані</w:t>
      </w:r>
      <w:r w:rsidR="00237DCF">
        <w:rPr>
          <w:rFonts w:ascii="Times New Roman" w:eastAsia="Times New Roman" w:hAnsi="Times New Roman" w:cs="Times New Roman"/>
          <w:color w:val="000000"/>
          <w:sz w:val="24"/>
          <w:szCs w:val="24"/>
          <w:lang w:eastAsia="uk-UA" w:bidi="uk-UA"/>
        </w:rPr>
        <w:t xml:space="preserve"> та змінені</w:t>
      </w:r>
      <w:r w:rsidR="00A443C8">
        <w:rPr>
          <w:rFonts w:ascii="Times New Roman" w:eastAsia="Times New Roman" w:hAnsi="Times New Roman" w:cs="Times New Roman"/>
          <w:color w:val="000000"/>
          <w:sz w:val="24"/>
          <w:szCs w:val="24"/>
          <w:lang w:eastAsia="uk-UA" w:bidi="uk-UA"/>
        </w:rPr>
        <w:t xml:space="preserve"> рішення обговорювалися на нарадах суддів.  Також на зборах суддів щомісяця розглядалося питання ефективності роботи судді відповідно до Інформації про основні показники здійснення судочинства. </w:t>
      </w:r>
    </w:p>
    <w:p w:rsidR="00207F89" w:rsidRPr="00207F89" w:rsidRDefault="00A443C8"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Зазначене впливає на підтриманні стабільно високих показників</w:t>
      </w:r>
      <w:r w:rsidR="00207F89" w:rsidRPr="00207F89">
        <w:rPr>
          <w:rFonts w:ascii="Times New Roman" w:eastAsia="Times New Roman" w:hAnsi="Times New Roman" w:cs="Times New Roman"/>
          <w:color w:val="000000"/>
          <w:sz w:val="24"/>
          <w:szCs w:val="24"/>
          <w:lang w:eastAsia="uk-UA" w:bidi="uk-UA"/>
        </w:rPr>
        <w:t xml:space="preserve"> ро</w:t>
      </w:r>
      <w:r>
        <w:rPr>
          <w:rFonts w:ascii="Times New Roman" w:eastAsia="Times New Roman" w:hAnsi="Times New Roman" w:cs="Times New Roman"/>
          <w:color w:val="000000"/>
          <w:sz w:val="24"/>
          <w:szCs w:val="24"/>
          <w:lang w:eastAsia="uk-UA" w:bidi="uk-UA"/>
        </w:rPr>
        <w:t>згляду справ, покращилися</w:t>
      </w:r>
      <w:r w:rsidR="00207F89" w:rsidRPr="00207F89">
        <w:rPr>
          <w:rFonts w:ascii="Times New Roman" w:eastAsia="Times New Roman" w:hAnsi="Times New Roman" w:cs="Times New Roman"/>
          <w:color w:val="000000"/>
          <w:sz w:val="24"/>
          <w:szCs w:val="24"/>
          <w:lang w:eastAsia="uk-UA" w:bidi="uk-UA"/>
        </w:rPr>
        <w:t xml:space="preserve"> показники </w:t>
      </w:r>
      <w:r w:rsidR="00DC0041">
        <w:rPr>
          <w:rFonts w:ascii="Times New Roman" w:eastAsia="Times New Roman" w:hAnsi="Times New Roman" w:cs="Times New Roman"/>
          <w:color w:val="000000"/>
          <w:sz w:val="24"/>
          <w:szCs w:val="24"/>
          <w:lang w:eastAsia="uk-UA" w:bidi="uk-UA"/>
        </w:rPr>
        <w:t>строків розгляду справ.</w:t>
      </w:r>
    </w:p>
    <w:p w:rsidR="00207F89" w:rsidRDefault="00207F89"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sidRPr="00207F89">
        <w:rPr>
          <w:rFonts w:ascii="Times New Roman" w:eastAsia="Times New Roman" w:hAnsi="Times New Roman" w:cs="Times New Roman"/>
          <w:color w:val="000000"/>
          <w:sz w:val="24"/>
          <w:szCs w:val="24"/>
          <w:lang w:eastAsia="uk-UA" w:bidi="uk-UA"/>
        </w:rPr>
        <w:t>Систематичний аналіз надходження позовних заяв до суду протягом останніх років свідчи</w:t>
      </w:r>
      <w:r w:rsidR="00DC7A06">
        <w:rPr>
          <w:rFonts w:ascii="Times New Roman" w:eastAsia="Times New Roman" w:hAnsi="Times New Roman" w:cs="Times New Roman"/>
          <w:color w:val="000000"/>
          <w:sz w:val="24"/>
          <w:szCs w:val="24"/>
          <w:lang w:eastAsia="uk-UA" w:bidi="uk-UA"/>
        </w:rPr>
        <w:t>ть, що звернення до суду залишаються</w:t>
      </w:r>
      <w:r w:rsidRPr="00207F89">
        <w:rPr>
          <w:rFonts w:ascii="Times New Roman" w:eastAsia="Times New Roman" w:hAnsi="Times New Roman" w:cs="Times New Roman"/>
          <w:color w:val="000000"/>
          <w:sz w:val="24"/>
          <w:szCs w:val="24"/>
          <w:lang w:eastAsia="uk-UA" w:bidi="uk-UA"/>
        </w:rPr>
        <w:t xml:space="preserve"> для значної кількості громадян важ</w:t>
      </w:r>
      <w:r w:rsidR="00A443C8">
        <w:rPr>
          <w:rFonts w:ascii="Times New Roman" w:eastAsia="Times New Roman" w:hAnsi="Times New Roman" w:cs="Times New Roman"/>
          <w:color w:val="000000"/>
          <w:sz w:val="24"/>
          <w:szCs w:val="24"/>
          <w:lang w:eastAsia="uk-UA" w:bidi="uk-UA"/>
        </w:rPr>
        <w:t>ливим засобом для</w:t>
      </w:r>
      <w:r w:rsidR="00DC0041">
        <w:rPr>
          <w:rFonts w:ascii="Times New Roman" w:eastAsia="Times New Roman" w:hAnsi="Times New Roman" w:cs="Times New Roman"/>
          <w:color w:val="000000"/>
          <w:sz w:val="24"/>
          <w:szCs w:val="24"/>
          <w:lang w:eastAsia="uk-UA" w:bidi="uk-UA"/>
        </w:rPr>
        <w:t xml:space="preserve"> захисту</w:t>
      </w:r>
      <w:r w:rsidRPr="00207F89">
        <w:rPr>
          <w:rFonts w:ascii="Times New Roman" w:eastAsia="Times New Roman" w:hAnsi="Times New Roman" w:cs="Times New Roman"/>
          <w:color w:val="000000"/>
          <w:sz w:val="24"/>
          <w:szCs w:val="24"/>
          <w:lang w:eastAsia="uk-UA" w:bidi="uk-UA"/>
        </w:rPr>
        <w:t xml:space="preserve"> прав та інтересів.</w:t>
      </w:r>
    </w:p>
    <w:p w:rsidR="00A443C8" w:rsidRPr="00207F89" w:rsidRDefault="00A443C8" w:rsidP="00207F89">
      <w:pPr>
        <w:widowControl w:val="0"/>
        <w:spacing w:after="0" w:line="0" w:lineRule="atLeast"/>
        <w:ind w:firstLine="68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Підсумовуючи наведене, можна зробити висновок, що у </w:t>
      </w:r>
      <w:r w:rsidR="003C4010">
        <w:rPr>
          <w:rFonts w:ascii="Times New Roman" w:eastAsia="Times New Roman" w:hAnsi="Times New Roman" w:cs="Times New Roman"/>
          <w:color w:val="000000"/>
          <w:sz w:val="24"/>
          <w:szCs w:val="24"/>
          <w:lang w:eastAsia="uk-UA" w:bidi="uk-UA"/>
        </w:rPr>
        <w:t xml:space="preserve">2018 році в </w:t>
      </w:r>
      <w:r>
        <w:rPr>
          <w:rFonts w:ascii="Times New Roman" w:eastAsia="Times New Roman" w:hAnsi="Times New Roman" w:cs="Times New Roman"/>
          <w:color w:val="000000"/>
          <w:sz w:val="24"/>
          <w:szCs w:val="24"/>
          <w:lang w:eastAsia="uk-UA" w:bidi="uk-UA"/>
        </w:rPr>
        <w:t xml:space="preserve">Львівському окружному адміністративному суді значно покращилися показники </w:t>
      </w:r>
      <w:r w:rsidR="003C4010">
        <w:rPr>
          <w:rFonts w:ascii="Times New Roman" w:eastAsia="Times New Roman" w:hAnsi="Times New Roman" w:cs="Times New Roman"/>
          <w:color w:val="000000"/>
          <w:sz w:val="24"/>
          <w:szCs w:val="24"/>
          <w:lang w:eastAsia="uk-UA" w:bidi="uk-UA"/>
        </w:rPr>
        <w:t xml:space="preserve">ефективності та якості розгляду справ. </w:t>
      </w:r>
      <w:r w:rsidR="006C7336">
        <w:rPr>
          <w:rFonts w:ascii="Times New Roman" w:eastAsia="Times New Roman" w:hAnsi="Times New Roman" w:cs="Times New Roman"/>
          <w:color w:val="000000"/>
          <w:sz w:val="24"/>
          <w:szCs w:val="24"/>
          <w:lang w:eastAsia="uk-UA" w:bidi="uk-UA"/>
        </w:rPr>
        <w:t>Відтак, у 2019 році надалі слід</w:t>
      </w:r>
      <w:bookmarkStart w:id="0" w:name="_GoBack"/>
      <w:bookmarkEnd w:id="0"/>
      <w:r w:rsidR="00237DCF">
        <w:rPr>
          <w:rFonts w:ascii="Times New Roman" w:eastAsia="Times New Roman" w:hAnsi="Times New Roman" w:cs="Times New Roman"/>
          <w:color w:val="000000"/>
          <w:sz w:val="24"/>
          <w:szCs w:val="24"/>
          <w:lang w:eastAsia="uk-UA" w:bidi="uk-UA"/>
        </w:rPr>
        <w:t xml:space="preserve"> ефективно </w:t>
      </w:r>
      <w:r w:rsidR="003C4010">
        <w:rPr>
          <w:rFonts w:ascii="Times New Roman" w:eastAsia="Times New Roman" w:hAnsi="Times New Roman" w:cs="Times New Roman"/>
          <w:color w:val="000000"/>
          <w:sz w:val="24"/>
          <w:szCs w:val="24"/>
          <w:lang w:eastAsia="uk-UA" w:bidi="uk-UA"/>
        </w:rPr>
        <w:t xml:space="preserve">проводити </w:t>
      </w:r>
      <w:r w:rsidR="00237DCF">
        <w:rPr>
          <w:rFonts w:ascii="Times New Roman" w:eastAsia="Times New Roman" w:hAnsi="Times New Roman" w:cs="Times New Roman"/>
          <w:color w:val="000000"/>
          <w:sz w:val="24"/>
          <w:szCs w:val="24"/>
          <w:lang w:eastAsia="uk-UA" w:bidi="uk-UA"/>
        </w:rPr>
        <w:t>обліково-аналітичну роботу</w:t>
      </w:r>
      <w:r w:rsidR="003C4010">
        <w:rPr>
          <w:rFonts w:ascii="Times New Roman" w:eastAsia="Times New Roman" w:hAnsi="Times New Roman" w:cs="Times New Roman"/>
          <w:color w:val="000000"/>
          <w:sz w:val="24"/>
          <w:szCs w:val="24"/>
          <w:lang w:eastAsia="uk-UA" w:bidi="uk-UA"/>
        </w:rPr>
        <w:t xml:space="preserve"> для </w:t>
      </w:r>
      <w:r w:rsidR="00237DCF">
        <w:rPr>
          <w:rFonts w:ascii="Times New Roman" w:eastAsia="Times New Roman" w:hAnsi="Times New Roman" w:cs="Times New Roman"/>
          <w:color w:val="000000"/>
          <w:sz w:val="24"/>
          <w:szCs w:val="24"/>
          <w:lang w:eastAsia="uk-UA" w:bidi="uk-UA"/>
        </w:rPr>
        <w:t>можливості забезпечення</w:t>
      </w:r>
      <w:r w:rsidR="003C4010">
        <w:rPr>
          <w:rFonts w:ascii="Times New Roman" w:eastAsia="Times New Roman" w:hAnsi="Times New Roman" w:cs="Times New Roman"/>
          <w:color w:val="000000"/>
          <w:sz w:val="24"/>
          <w:szCs w:val="24"/>
          <w:lang w:eastAsia="uk-UA" w:bidi="uk-UA"/>
        </w:rPr>
        <w:t xml:space="preserve"> належного рівня здійснення правосуддя.</w:t>
      </w:r>
    </w:p>
    <w:p w:rsidR="00207F89" w:rsidRPr="00207F89" w:rsidRDefault="00207F89" w:rsidP="00207F89">
      <w:pPr>
        <w:widowControl w:val="0"/>
        <w:spacing w:after="0" w:line="0" w:lineRule="atLeast"/>
        <w:jc w:val="both"/>
        <w:rPr>
          <w:rFonts w:ascii="Times New Roman" w:eastAsia="Times New Roman" w:hAnsi="Times New Roman" w:cs="Times New Roman"/>
          <w:sz w:val="24"/>
          <w:szCs w:val="24"/>
          <w:lang w:eastAsia="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07F89" w:rsidRDefault="00207F89" w:rsidP="00207F89">
      <w:pPr>
        <w:widowControl w:val="0"/>
        <w:spacing w:after="0" w:line="0" w:lineRule="atLeast"/>
        <w:jc w:val="both"/>
        <w:rPr>
          <w:rFonts w:ascii="Times New Roman" w:eastAsia="Times New Roman" w:hAnsi="Times New Roman" w:cs="Times New Roman"/>
          <w:color w:val="000000"/>
          <w:sz w:val="24"/>
          <w:szCs w:val="24"/>
          <w:lang w:eastAsia="uk-UA" w:bidi="uk-UA"/>
        </w:rPr>
      </w:pPr>
    </w:p>
    <w:p w:rsidR="00207F89" w:rsidRPr="00237DCF" w:rsidRDefault="00207F89" w:rsidP="00207F89">
      <w:pPr>
        <w:widowControl w:val="0"/>
        <w:spacing w:after="0" w:line="0" w:lineRule="atLeast"/>
        <w:rPr>
          <w:rFonts w:ascii="Times New Roman" w:eastAsia="Times New Roman" w:hAnsi="Times New Roman" w:cs="Times New Roman"/>
          <w:b/>
          <w:bCs/>
          <w:color w:val="000000"/>
          <w:sz w:val="24"/>
          <w:szCs w:val="24"/>
          <w:lang w:eastAsia="uk-UA" w:bidi="uk-UA"/>
        </w:rPr>
      </w:pPr>
      <w:r w:rsidRPr="00207F89">
        <w:rPr>
          <w:rFonts w:ascii="Times New Roman" w:eastAsia="Times New Roman" w:hAnsi="Times New Roman" w:cs="Times New Roman"/>
          <w:b/>
          <w:bCs/>
          <w:color w:val="000000"/>
          <w:sz w:val="24"/>
          <w:szCs w:val="24"/>
          <w:lang w:eastAsia="uk-UA" w:bidi="uk-UA"/>
        </w:rPr>
        <w:tab/>
      </w:r>
      <w:r w:rsidRPr="00237DCF">
        <w:rPr>
          <w:rFonts w:ascii="Times New Roman" w:eastAsia="Times New Roman" w:hAnsi="Times New Roman" w:cs="Times New Roman"/>
          <w:b/>
          <w:bCs/>
          <w:color w:val="000000"/>
          <w:sz w:val="24"/>
          <w:szCs w:val="24"/>
          <w:lang w:eastAsia="uk-UA" w:bidi="uk-UA"/>
        </w:rPr>
        <w:t>Начальник відділу</w:t>
      </w:r>
    </w:p>
    <w:p w:rsidR="00207F89" w:rsidRPr="00237DCF" w:rsidRDefault="00207F89" w:rsidP="00207F89">
      <w:pPr>
        <w:widowControl w:val="0"/>
        <w:spacing w:after="0" w:line="0" w:lineRule="atLeast"/>
        <w:ind w:firstLine="708"/>
        <w:rPr>
          <w:rFonts w:ascii="Times New Roman" w:eastAsia="Times New Roman" w:hAnsi="Times New Roman" w:cs="Times New Roman"/>
          <w:b/>
          <w:bCs/>
          <w:color w:val="000000"/>
          <w:sz w:val="24"/>
          <w:szCs w:val="24"/>
          <w:lang w:eastAsia="uk-UA" w:bidi="uk-UA"/>
        </w:rPr>
      </w:pPr>
      <w:r w:rsidRPr="00237DCF">
        <w:rPr>
          <w:rFonts w:ascii="Times New Roman" w:eastAsia="Times New Roman" w:hAnsi="Times New Roman" w:cs="Times New Roman"/>
          <w:b/>
          <w:bCs/>
          <w:color w:val="000000"/>
          <w:sz w:val="24"/>
          <w:szCs w:val="24"/>
          <w:lang w:eastAsia="uk-UA" w:bidi="uk-UA"/>
        </w:rPr>
        <w:t xml:space="preserve">кодифікації та </w:t>
      </w:r>
      <w:proofErr w:type="spellStart"/>
      <w:r w:rsidRPr="00237DCF">
        <w:rPr>
          <w:rFonts w:ascii="Times New Roman" w:eastAsia="Times New Roman" w:hAnsi="Times New Roman" w:cs="Times New Roman"/>
          <w:b/>
          <w:bCs/>
          <w:color w:val="000000"/>
          <w:sz w:val="24"/>
          <w:szCs w:val="24"/>
          <w:lang w:eastAsia="uk-UA" w:bidi="uk-UA"/>
        </w:rPr>
        <w:t>статзвітності</w:t>
      </w:r>
      <w:proofErr w:type="spellEnd"/>
      <w:r w:rsidR="009F0485" w:rsidRPr="00237DCF">
        <w:rPr>
          <w:rFonts w:ascii="Times New Roman" w:eastAsia="Times New Roman" w:hAnsi="Times New Roman" w:cs="Times New Roman"/>
          <w:b/>
          <w:bCs/>
          <w:color w:val="000000"/>
          <w:sz w:val="24"/>
          <w:szCs w:val="24"/>
          <w:lang w:eastAsia="uk-UA" w:bidi="uk-UA"/>
        </w:rPr>
        <w:t xml:space="preserve">                          </w:t>
      </w:r>
      <w:r w:rsidR="00237DCF">
        <w:rPr>
          <w:rFonts w:ascii="Times New Roman" w:eastAsia="Times New Roman" w:hAnsi="Times New Roman" w:cs="Times New Roman"/>
          <w:b/>
          <w:bCs/>
          <w:color w:val="000000"/>
          <w:sz w:val="24"/>
          <w:szCs w:val="24"/>
          <w:lang w:eastAsia="uk-UA" w:bidi="uk-UA"/>
        </w:rPr>
        <w:t xml:space="preserve">                      </w:t>
      </w:r>
      <w:r w:rsidR="009F0485" w:rsidRPr="00237DCF">
        <w:rPr>
          <w:rFonts w:ascii="Times New Roman" w:eastAsia="Times New Roman" w:hAnsi="Times New Roman" w:cs="Times New Roman"/>
          <w:b/>
          <w:bCs/>
          <w:color w:val="000000"/>
          <w:sz w:val="24"/>
          <w:szCs w:val="24"/>
          <w:lang w:eastAsia="uk-UA" w:bidi="uk-UA"/>
        </w:rPr>
        <w:t xml:space="preserve">       </w:t>
      </w:r>
      <w:r w:rsidR="00237DCF">
        <w:rPr>
          <w:rFonts w:ascii="Times New Roman" w:eastAsia="Times New Roman" w:hAnsi="Times New Roman" w:cs="Times New Roman"/>
          <w:b/>
          <w:bCs/>
          <w:color w:val="000000"/>
          <w:sz w:val="24"/>
          <w:szCs w:val="24"/>
          <w:lang w:eastAsia="uk-UA" w:bidi="uk-UA"/>
        </w:rPr>
        <w:t>О.Ю.</w:t>
      </w:r>
      <w:proofErr w:type="spellStart"/>
      <w:r w:rsidR="00237DCF">
        <w:rPr>
          <w:rFonts w:ascii="Times New Roman" w:eastAsia="Times New Roman" w:hAnsi="Times New Roman" w:cs="Times New Roman"/>
          <w:b/>
          <w:bCs/>
          <w:color w:val="000000"/>
          <w:sz w:val="24"/>
          <w:szCs w:val="24"/>
          <w:lang w:eastAsia="uk-UA" w:bidi="uk-UA"/>
        </w:rPr>
        <w:t>Стецик</w:t>
      </w:r>
      <w:proofErr w:type="spellEnd"/>
      <w:r w:rsidR="00237DCF">
        <w:rPr>
          <w:rFonts w:ascii="Times New Roman" w:eastAsia="Times New Roman" w:hAnsi="Times New Roman" w:cs="Times New Roman"/>
          <w:b/>
          <w:bCs/>
          <w:color w:val="000000"/>
          <w:sz w:val="24"/>
          <w:szCs w:val="24"/>
          <w:lang w:eastAsia="uk-UA" w:bidi="uk-UA"/>
        </w:rPr>
        <w:t xml:space="preserve"> </w:t>
      </w:r>
    </w:p>
    <w:p w:rsidR="00207F89" w:rsidRPr="00207F89" w:rsidRDefault="00207F89" w:rsidP="00207F89">
      <w:pPr>
        <w:widowControl w:val="0"/>
        <w:spacing w:after="0" w:line="0" w:lineRule="atLeast"/>
        <w:rPr>
          <w:rFonts w:ascii="Times New Roman" w:eastAsia="Times New Roman" w:hAnsi="Times New Roman" w:cs="Times New Roman"/>
          <w:b/>
          <w:bCs/>
          <w:color w:val="000000"/>
          <w:sz w:val="24"/>
          <w:szCs w:val="24"/>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3C4010" w:rsidRDefault="003C4010"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3C4010" w:rsidRDefault="003C4010"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37DCF" w:rsidRPr="00207F89" w:rsidRDefault="00237DCF"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rPr>
          <w:rFonts w:ascii="Times New Roman" w:eastAsia="Times New Roman" w:hAnsi="Times New Roman" w:cs="Times New Roman"/>
          <w:b/>
          <w:bCs/>
          <w:color w:val="000000"/>
          <w:sz w:val="26"/>
          <w:szCs w:val="26"/>
          <w:lang w:eastAsia="uk-UA" w:bidi="uk-UA"/>
        </w:rPr>
      </w:pPr>
    </w:p>
    <w:p w:rsidR="00207F89" w:rsidRPr="00207F89" w:rsidRDefault="00207F89" w:rsidP="00207F89">
      <w:pPr>
        <w:widowControl w:val="0"/>
        <w:spacing w:after="0" w:line="0" w:lineRule="atLeast"/>
        <w:ind w:right="8740"/>
        <w:rPr>
          <w:rFonts w:ascii="Times New Roman" w:eastAsia="Times New Roman" w:hAnsi="Times New Roman" w:cs="Times New Roman"/>
          <w:color w:val="000000"/>
          <w:sz w:val="15"/>
          <w:szCs w:val="15"/>
          <w:lang w:eastAsia="uk-UA" w:bidi="uk-UA"/>
        </w:rPr>
      </w:pP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032</w:t>
      </w: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261</w:t>
      </w:r>
      <w:r w:rsidRPr="00207F89">
        <w:rPr>
          <w:rFonts w:ascii="Times New Roman" w:eastAsia="Times New Roman" w:hAnsi="Times New Roman" w:cs="Times New Roman"/>
          <w:b/>
          <w:bCs/>
          <w:color w:val="000000"/>
          <w:sz w:val="15"/>
          <w:szCs w:val="15"/>
          <w:lang w:eastAsia="uk-UA" w:bidi="uk-UA"/>
        </w:rPr>
        <w:t>-</w:t>
      </w:r>
      <w:r w:rsidRPr="00207F89">
        <w:rPr>
          <w:rFonts w:ascii="Times New Roman" w:eastAsia="Times New Roman" w:hAnsi="Times New Roman" w:cs="Times New Roman"/>
          <w:color w:val="000000"/>
          <w:sz w:val="15"/>
          <w:szCs w:val="15"/>
          <w:lang w:eastAsia="uk-UA" w:bidi="uk-UA"/>
        </w:rPr>
        <w:t>38-53</w:t>
      </w:r>
    </w:p>
    <w:p w:rsidR="00207F89" w:rsidRPr="00207F89" w:rsidRDefault="00207F89" w:rsidP="00207F89">
      <w:pPr>
        <w:widowControl w:val="0"/>
        <w:spacing w:after="0" w:line="240" w:lineRule="auto"/>
        <w:jc w:val="both"/>
        <w:rPr>
          <w:rFonts w:ascii="Times New Roman" w:eastAsia="Arial Unicode MS" w:hAnsi="Times New Roman" w:cs="Times New Roman"/>
          <w:color w:val="000000"/>
          <w:sz w:val="18"/>
          <w:szCs w:val="18"/>
          <w:lang w:eastAsia="uk-UA" w:bidi="uk-UA"/>
        </w:rPr>
      </w:pPr>
      <w:r w:rsidRPr="00207F89">
        <w:rPr>
          <w:rFonts w:ascii="Times New Roman" w:eastAsia="Arial Unicode MS" w:hAnsi="Times New Roman" w:cs="Times New Roman"/>
          <w:color w:val="000000"/>
          <w:sz w:val="18"/>
          <w:szCs w:val="18"/>
          <w:lang w:eastAsia="uk-UA" w:bidi="uk-UA"/>
        </w:rPr>
        <w:t>stat@adm.lv.court.gov.ua</w:t>
      </w:r>
    </w:p>
    <w:p w:rsidR="00207F89" w:rsidRPr="00207F89" w:rsidRDefault="00207F89" w:rsidP="00207F89">
      <w:pPr>
        <w:widowControl w:val="0"/>
        <w:spacing w:after="0" w:line="0" w:lineRule="atLeast"/>
        <w:ind w:right="8740"/>
        <w:rPr>
          <w:rFonts w:ascii="Times New Roman" w:eastAsia="Times New Roman" w:hAnsi="Times New Roman" w:cs="Times New Roman"/>
          <w:color w:val="000000"/>
          <w:sz w:val="15"/>
          <w:szCs w:val="15"/>
          <w:lang w:eastAsia="uk-UA" w:bidi="uk-UA"/>
        </w:rPr>
      </w:pPr>
    </w:p>
    <w:p w:rsidR="008F033D" w:rsidRDefault="008F033D"/>
    <w:sectPr w:rsidR="008F033D" w:rsidSect="004815C0">
      <w:pgSz w:w="11900" w:h="16840"/>
      <w:pgMar w:top="709" w:right="560" w:bottom="426" w:left="1337"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659D"/>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1">
    <w:nsid w:val="1F787627"/>
    <w:multiLevelType w:val="hybridMultilevel"/>
    <w:tmpl w:val="1ABE4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651B10"/>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nsid w:val="3C1E0AC7"/>
    <w:multiLevelType w:val="hybridMultilevel"/>
    <w:tmpl w:val="422C197C"/>
    <w:lvl w:ilvl="0" w:tplc="AFFE10DC">
      <w:start w:val="4"/>
      <w:numFmt w:val="upperRoman"/>
      <w:lvlText w:val="%1."/>
      <w:lvlJc w:val="left"/>
      <w:pPr>
        <w:ind w:left="2160" w:hanging="72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4">
    <w:nsid w:val="42D47634"/>
    <w:multiLevelType w:val="hybridMultilevel"/>
    <w:tmpl w:val="9224D196"/>
    <w:lvl w:ilvl="0" w:tplc="542C94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2E05710"/>
    <w:multiLevelType w:val="multilevel"/>
    <w:tmpl w:val="22A430D4"/>
    <w:lvl w:ilvl="0">
      <w:start w:val="1"/>
      <w:numFmt w:val="decimal"/>
      <w:lvlText w:val="%1."/>
      <w:lvlJc w:val="left"/>
      <w:pPr>
        <w:ind w:left="720" w:hanging="360"/>
      </w:pPr>
      <w:rPr>
        <w:rFonts w:eastAsia="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458E1CB3"/>
    <w:multiLevelType w:val="hybridMultilevel"/>
    <w:tmpl w:val="86227122"/>
    <w:lvl w:ilvl="0" w:tplc="C2F6038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8BF0354"/>
    <w:multiLevelType w:val="multilevel"/>
    <w:tmpl w:val="B0286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07444"/>
    <w:multiLevelType w:val="hybridMultilevel"/>
    <w:tmpl w:val="4FA039A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40D2DF3"/>
    <w:multiLevelType w:val="hybridMultilevel"/>
    <w:tmpl w:val="9EDA9442"/>
    <w:lvl w:ilvl="0" w:tplc="D0E6C7EE">
      <w:numFmt w:val="bullet"/>
      <w:lvlText w:val="-"/>
      <w:lvlJc w:val="left"/>
      <w:pPr>
        <w:ind w:left="1140" w:hanging="360"/>
      </w:pPr>
      <w:rPr>
        <w:rFonts w:ascii="Times New Roman" w:eastAsia="Times New Roman" w:hAnsi="Times New Roman" w:cs="Times New Roman" w:hint="default"/>
        <w:color w:val="auto"/>
        <w:sz w:val="22"/>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0">
    <w:nsid w:val="6A382D86"/>
    <w:multiLevelType w:val="hybridMultilevel"/>
    <w:tmpl w:val="ECDC7018"/>
    <w:lvl w:ilvl="0" w:tplc="7018EB7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78214CC0"/>
    <w:multiLevelType w:val="hybridMultilevel"/>
    <w:tmpl w:val="D6144EB8"/>
    <w:lvl w:ilvl="0" w:tplc="FFB43A6E">
      <w:start w:val="201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8"/>
  </w:num>
  <w:num w:numId="5">
    <w:abstractNumId w:val="1"/>
  </w:num>
  <w:num w:numId="6">
    <w:abstractNumId w:val="6"/>
  </w:num>
  <w:num w:numId="7">
    <w:abstractNumId w:val="9"/>
  </w:num>
  <w:num w:numId="8">
    <w:abstractNumId w:val="5"/>
  </w:num>
  <w:num w:numId="9">
    <w:abstractNumId w:val="3"/>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9A105A"/>
    <w:rsid w:val="0000092C"/>
    <w:rsid w:val="00003119"/>
    <w:rsid w:val="00015E4E"/>
    <w:rsid w:val="00017D91"/>
    <w:rsid w:val="000201C7"/>
    <w:rsid w:val="00026D42"/>
    <w:rsid w:val="000327D4"/>
    <w:rsid w:val="000344C6"/>
    <w:rsid w:val="00036C5D"/>
    <w:rsid w:val="00042347"/>
    <w:rsid w:val="00043B32"/>
    <w:rsid w:val="00047AD7"/>
    <w:rsid w:val="000507EE"/>
    <w:rsid w:val="00053017"/>
    <w:rsid w:val="00064D2D"/>
    <w:rsid w:val="00067CA9"/>
    <w:rsid w:val="00070D1C"/>
    <w:rsid w:val="00072B99"/>
    <w:rsid w:val="00073A17"/>
    <w:rsid w:val="00073EDB"/>
    <w:rsid w:val="00074B1C"/>
    <w:rsid w:val="00093178"/>
    <w:rsid w:val="000A13B1"/>
    <w:rsid w:val="000A3862"/>
    <w:rsid w:val="000A4024"/>
    <w:rsid w:val="000A6D5E"/>
    <w:rsid w:val="000B09C3"/>
    <w:rsid w:val="000B4C61"/>
    <w:rsid w:val="000B673D"/>
    <w:rsid w:val="000B6D77"/>
    <w:rsid w:val="000C1D53"/>
    <w:rsid w:val="000C4823"/>
    <w:rsid w:val="000C5827"/>
    <w:rsid w:val="000C77C7"/>
    <w:rsid w:val="000D0F36"/>
    <w:rsid w:val="000D3F6B"/>
    <w:rsid w:val="000D499A"/>
    <w:rsid w:val="000D555C"/>
    <w:rsid w:val="000E3B05"/>
    <w:rsid w:val="000E4439"/>
    <w:rsid w:val="000F0149"/>
    <w:rsid w:val="000F4FC1"/>
    <w:rsid w:val="000F7AD3"/>
    <w:rsid w:val="001055CE"/>
    <w:rsid w:val="00115C80"/>
    <w:rsid w:val="00116F9A"/>
    <w:rsid w:val="0011794F"/>
    <w:rsid w:val="00120382"/>
    <w:rsid w:val="001210BC"/>
    <w:rsid w:val="001235FB"/>
    <w:rsid w:val="00125D3B"/>
    <w:rsid w:val="00140CFD"/>
    <w:rsid w:val="00142E30"/>
    <w:rsid w:val="0015369E"/>
    <w:rsid w:val="00154F08"/>
    <w:rsid w:val="00156307"/>
    <w:rsid w:val="00160040"/>
    <w:rsid w:val="001704D5"/>
    <w:rsid w:val="00175F05"/>
    <w:rsid w:val="0018039E"/>
    <w:rsid w:val="00182534"/>
    <w:rsid w:val="0018295E"/>
    <w:rsid w:val="00185042"/>
    <w:rsid w:val="001962A8"/>
    <w:rsid w:val="001B0752"/>
    <w:rsid w:val="001B103D"/>
    <w:rsid w:val="001B680B"/>
    <w:rsid w:val="001C348E"/>
    <w:rsid w:val="001D0296"/>
    <w:rsid w:val="001D22ED"/>
    <w:rsid w:val="001D308A"/>
    <w:rsid w:val="001D3278"/>
    <w:rsid w:val="001D5622"/>
    <w:rsid w:val="001E2893"/>
    <w:rsid w:val="001E3A66"/>
    <w:rsid w:val="001F09D8"/>
    <w:rsid w:val="0020238F"/>
    <w:rsid w:val="002031F6"/>
    <w:rsid w:val="0020502A"/>
    <w:rsid w:val="00206C91"/>
    <w:rsid w:val="00206E13"/>
    <w:rsid w:val="00207F89"/>
    <w:rsid w:val="002117E3"/>
    <w:rsid w:val="00212A8B"/>
    <w:rsid w:val="00212F47"/>
    <w:rsid w:val="00220758"/>
    <w:rsid w:val="00237DCF"/>
    <w:rsid w:val="0024179E"/>
    <w:rsid w:val="00243590"/>
    <w:rsid w:val="002435CE"/>
    <w:rsid w:val="002443E1"/>
    <w:rsid w:val="002459E2"/>
    <w:rsid w:val="00254BAE"/>
    <w:rsid w:val="00272CD7"/>
    <w:rsid w:val="00272EA1"/>
    <w:rsid w:val="002828FD"/>
    <w:rsid w:val="002859BE"/>
    <w:rsid w:val="002874E7"/>
    <w:rsid w:val="00287608"/>
    <w:rsid w:val="00290CA1"/>
    <w:rsid w:val="00295497"/>
    <w:rsid w:val="00296430"/>
    <w:rsid w:val="002A0F01"/>
    <w:rsid w:val="002A7FA4"/>
    <w:rsid w:val="002B4286"/>
    <w:rsid w:val="002B53F5"/>
    <w:rsid w:val="002B5EE3"/>
    <w:rsid w:val="002B7368"/>
    <w:rsid w:val="002C0AB4"/>
    <w:rsid w:val="002C17E2"/>
    <w:rsid w:val="002D1B97"/>
    <w:rsid w:val="002D1DC8"/>
    <w:rsid w:val="002D282B"/>
    <w:rsid w:val="002D398D"/>
    <w:rsid w:val="002D63CF"/>
    <w:rsid w:val="002D66B9"/>
    <w:rsid w:val="002E0783"/>
    <w:rsid w:val="002E56F2"/>
    <w:rsid w:val="002E766E"/>
    <w:rsid w:val="002E7F5D"/>
    <w:rsid w:val="002F03F4"/>
    <w:rsid w:val="002F337F"/>
    <w:rsid w:val="00300205"/>
    <w:rsid w:val="00302674"/>
    <w:rsid w:val="0031013A"/>
    <w:rsid w:val="00315460"/>
    <w:rsid w:val="003158B7"/>
    <w:rsid w:val="00317934"/>
    <w:rsid w:val="00323A90"/>
    <w:rsid w:val="00323D22"/>
    <w:rsid w:val="00324EAF"/>
    <w:rsid w:val="00326D5F"/>
    <w:rsid w:val="00330F29"/>
    <w:rsid w:val="00331953"/>
    <w:rsid w:val="00333430"/>
    <w:rsid w:val="00336337"/>
    <w:rsid w:val="0034237E"/>
    <w:rsid w:val="003515F5"/>
    <w:rsid w:val="00351857"/>
    <w:rsid w:val="0035495A"/>
    <w:rsid w:val="003555A2"/>
    <w:rsid w:val="003706DA"/>
    <w:rsid w:val="003709D3"/>
    <w:rsid w:val="00371A96"/>
    <w:rsid w:val="00382AD2"/>
    <w:rsid w:val="003836C6"/>
    <w:rsid w:val="003968A7"/>
    <w:rsid w:val="003975A6"/>
    <w:rsid w:val="003A1EAF"/>
    <w:rsid w:val="003A50DF"/>
    <w:rsid w:val="003A58B1"/>
    <w:rsid w:val="003A7578"/>
    <w:rsid w:val="003A7A9E"/>
    <w:rsid w:val="003B2860"/>
    <w:rsid w:val="003C3CE3"/>
    <w:rsid w:val="003C4010"/>
    <w:rsid w:val="003E0ACC"/>
    <w:rsid w:val="003E195C"/>
    <w:rsid w:val="003E64C3"/>
    <w:rsid w:val="003F0730"/>
    <w:rsid w:val="003F21A0"/>
    <w:rsid w:val="00405E2A"/>
    <w:rsid w:val="004065B5"/>
    <w:rsid w:val="00407730"/>
    <w:rsid w:val="00415A57"/>
    <w:rsid w:val="00432E07"/>
    <w:rsid w:val="00437C26"/>
    <w:rsid w:val="004428E2"/>
    <w:rsid w:val="00442E08"/>
    <w:rsid w:val="004464B6"/>
    <w:rsid w:val="00455D14"/>
    <w:rsid w:val="00455E4A"/>
    <w:rsid w:val="0046039C"/>
    <w:rsid w:val="00466F94"/>
    <w:rsid w:val="00470E7A"/>
    <w:rsid w:val="004760D4"/>
    <w:rsid w:val="004815C0"/>
    <w:rsid w:val="004846B1"/>
    <w:rsid w:val="00486F7C"/>
    <w:rsid w:val="004956EA"/>
    <w:rsid w:val="00497516"/>
    <w:rsid w:val="004A1DA5"/>
    <w:rsid w:val="004A1FDA"/>
    <w:rsid w:val="004A41BB"/>
    <w:rsid w:val="004B1FD3"/>
    <w:rsid w:val="004B2CEF"/>
    <w:rsid w:val="004B42F9"/>
    <w:rsid w:val="004B6F39"/>
    <w:rsid w:val="004C1188"/>
    <w:rsid w:val="004C32E0"/>
    <w:rsid w:val="004C6FA2"/>
    <w:rsid w:val="004D109B"/>
    <w:rsid w:val="004D5070"/>
    <w:rsid w:val="004D6A2F"/>
    <w:rsid w:val="004E184F"/>
    <w:rsid w:val="004F1559"/>
    <w:rsid w:val="004F3F63"/>
    <w:rsid w:val="004F701E"/>
    <w:rsid w:val="00500CFD"/>
    <w:rsid w:val="0050150C"/>
    <w:rsid w:val="00501B2E"/>
    <w:rsid w:val="00512422"/>
    <w:rsid w:val="00512A46"/>
    <w:rsid w:val="00513FC9"/>
    <w:rsid w:val="00516E5D"/>
    <w:rsid w:val="0052552B"/>
    <w:rsid w:val="005463EF"/>
    <w:rsid w:val="0055424F"/>
    <w:rsid w:val="00562B74"/>
    <w:rsid w:val="0056471E"/>
    <w:rsid w:val="0056757D"/>
    <w:rsid w:val="00573E95"/>
    <w:rsid w:val="005826D6"/>
    <w:rsid w:val="005862B7"/>
    <w:rsid w:val="00593175"/>
    <w:rsid w:val="0059554A"/>
    <w:rsid w:val="005A5EAA"/>
    <w:rsid w:val="005A6D90"/>
    <w:rsid w:val="005B74C4"/>
    <w:rsid w:val="005C18D2"/>
    <w:rsid w:val="005C22D6"/>
    <w:rsid w:val="005D3B40"/>
    <w:rsid w:val="005D42E5"/>
    <w:rsid w:val="005E33E3"/>
    <w:rsid w:val="005E5B37"/>
    <w:rsid w:val="005F2911"/>
    <w:rsid w:val="0060229C"/>
    <w:rsid w:val="00603C5E"/>
    <w:rsid w:val="006447DE"/>
    <w:rsid w:val="00645A2F"/>
    <w:rsid w:val="00652E9D"/>
    <w:rsid w:val="006541A3"/>
    <w:rsid w:val="006576ED"/>
    <w:rsid w:val="00661BF1"/>
    <w:rsid w:val="006627D7"/>
    <w:rsid w:val="00663117"/>
    <w:rsid w:val="0066320A"/>
    <w:rsid w:val="00664997"/>
    <w:rsid w:val="006650DE"/>
    <w:rsid w:val="006652D5"/>
    <w:rsid w:val="00666237"/>
    <w:rsid w:val="00666BD6"/>
    <w:rsid w:val="0066706E"/>
    <w:rsid w:val="00671009"/>
    <w:rsid w:val="0067374F"/>
    <w:rsid w:val="0067674F"/>
    <w:rsid w:val="00677181"/>
    <w:rsid w:val="00680723"/>
    <w:rsid w:val="00680A00"/>
    <w:rsid w:val="00682787"/>
    <w:rsid w:val="00685B5C"/>
    <w:rsid w:val="00692979"/>
    <w:rsid w:val="00693E89"/>
    <w:rsid w:val="00694C38"/>
    <w:rsid w:val="006A14B9"/>
    <w:rsid w:val="006C140A"/>
    <w:rsid w:val="006C7336"/>
    <w:rsid w:val="006D005F"/>
    <w:rsid w:val="006D38FB"/>
    <w:rsid w:val="006D4360"/>
    <w:rsid w:val="006D5121"/>
    <w:rsid w:val="006D6395"/>
    <w:rsid w:val="006E04AF"/>
    <w:rsid w:val="006E3576"/>
    <w:rsid w:val="006F0E8A"/>
    <w:rsid w:val="006F5BC1"/>
    <w:rsid w:val="0070696F"/>
    <w:rsid w:val="00707022"/>
    <w:rsid w:val="00710BF6"/>
    <w:rsid w:val="007123CB"/>
    <w:rsid w:val="00712B14"/>
    <w:rsid w:val="00715EBE"/>
    <w:rsid w:val="00722730"/>
    <w:rsid w:val="00723740"/>
    <w:rsid w:val="00724B06"/>
    <w:rsid w:val="00730446"/>
    <w:rsid w:val="007422B4"/>
    <w:rsid w:val="00743031"/>
    <w:rsid w:val="0074480B"/>
    <w:rsid w:val="00746591"/>
    <w:rsid w:val="007476A1"/>
    <w:rsid w:val="00750C9A"/>
    <w:rsid w:val="0075189B"/>
    <w:rsid w:val="00752AFD"/>
    <w:rsid w:val="00754007"/>
    <w:rsid w:val="007559A3"/>
    <w:rsid w:val="00756BC2"/>
    <w:rsid w:val="00757925"/>
    <w:rsid w:val="00770962"/>
    <w:rsid w:val="00770D90"/>
    <w:rsid w:val="00771D1F"/>
    <w:rsid w:val="00772258"/>
    <w:rsid w:val="00774AC4"/>
    <w:rsid w:val="00781F3C"/>
    <w:rsid w:val="00791554"/>
    <w:rsid w:val="00794EB5"/>
    <w:rsid w:val="007A04E1"/>
    <w:rsid w:val="007A6E8D"/>
    <w:rsid w:val="007B29F3"/>
    <w:rsid w:val="007B443B"/>
    <w:rsid w:val="007B617C"/>
    <w:rsid w:val="007B71F1"/>
    <w:rsid w:val="007B7A64"/>
    <w:rsid w:val="007C1504"/>
    <w:rsid w:val="007E4D8D"/>
    <w:rsid w:val="007F0F34"/>
    <w:rsid w:val="007F2671"/>
    <w:rsid w:val="007F3E13"/>
    <w:rsid w:val="007F67FB"/>
    <w:rsid w:val="0080300D"/>
    <w:rsid w:val="00806D55"/>
    <w:rsid w:val="0080731B"/>
    <w:rsid w:val="0081601A"/>
    <w:rsid w:val="00824539"/>
    <w:rsid w:val="008321FE"/>
    <w:rsid w:val="008342AB"/>
    <w:rsid w:val="00835CBE"/>
    <w:rsid w:val="00836442"/>
    <w:rsid w:val="00841399"/>
    <w:rsid w:val="008426DB"/>
    <w:rsid w:val="00843699"/>
    <w:rsid w:val="00844D6D"/>
    <w:rsid w:val="00847003"/>
    <w:rsid w:val="00855BD7"/>
    <w:rsid w:val="008657E0"/>
    <w:rsid w:val="00871A61"/>
    <w:rsid w:val="00871E18"/>
    <w:rsid w:val="0087453A"/>
    <w:rsid w:val="00877389"/>
    <w:rsid w:val="00877F19"/>
    <w:rsid w:val="0088685E"/>
    <w:rsid w:val="00891C88"/>
    <w:rsid w:val="00896CD6"/>
    <w:rsid w:val="008977AD"/>
    <w:rsid w:val="008A1197"/>
    <w:rsid w:val="008A2324"/>
    <w:rsid w:val="008A267F"/>
    <w:rsid w:val="008A6FF0"/>
    <w:rsid w:val="008B432A"/>
    <w:rsid w:val="008B4613"/>
    <w:rsid w:val="008B6EDB"/>
    <w:rsid w:val="008C6061"/>
    <w:rsid w:val="008C62F9"/>
    <w:rsid w:val="008D253B"/>
    <w:rsid w:val="008D436B"/>
    <w:rsid w:val="008D4B05"/>
    <w:rsid w:val="008E36B4"/>
    <w:rsid w:val="008F033D"/>
    <w:rsid w:val="00901918"/>
    <w:rsid w:val="00906026"/>
    <w:rsid w:val="00906CB0"/>
    <w:rsid w:val="009114D3"/>
    <w:rsid w:val="00912E2F"/>
    <w:rsid w:val="009172C4"/>
    <w:rsid w:val="0092467F"/>
    <w:rsid w:val="0093020C"/>
    <w:rsid w:val="00932893"/>
    <w:rsid w:val="00932E34"/>
    <w:rsid w:val="009371D4"/>
    <w:rsid w:val="0094020C"/>
    <w:rsid w:val="009511A3"/>
    <w:rsid w:val="00951D1C"/>
    <w:rsid w:val="009530B9"/>
    <w:rsid w:val="0095584D"/>
    <w:rsid w:val="009702E1"/>
    <w:rsid w:val="0097491B"/>
    <w:rsid w:val="00990391"/>
    <w:rsid w:val="00990B9B"/>
    <w:rsid w:val="00992150"/>
    <w:rsid w:val="009922D1"/>
    <w:rsid w:val="00995B39"/>
    <w:rsid w:val="009A105A"/>
    <w:rsid w:val="009A227E"/>
    <w:rsid w:val="009B0E6E"/>
    <w:rsid w:val="009B7FD6"/>
    <w:rsid w:val="009B7FFD"/>
    <w:rsid w:val="009D6355"/>
    <w:rsid w:val="009D78B1"/>
    <w:rsid w:val="009E08B8"/>
    <w:rsid w:val="009E2B72"/>
    <w:rsid w:val="009E5AAE"/>
    <w:rsid w:val="009F0485"/>
    <w:rsid w:val="009F1D1F"/>
    <w:rsid w:val="009F3556"/>
    <w:rsid w:val="009F4D5C"/>
    <w:rsid w:val="00A00819"/>
    <w:rsid w:val="00A01D4E"/>
    <w:rsid w:val="00A1210C"/>
    <w:rsid w:val="00A12C94"/>
    <w:rsid w:val="00A14776"/>
    <w:rsid w:val="00A150E6"/>
    <w:rsid w:val="00A2168C"/>
    <w:rsid w:val="00A2568C"/>
    <w:rsid w:val="00A27B90"/>
    <w:rsid w:val="00A33992"/>
    <w:rsid w:val="00A4042D"/>
    <w:rsid w:val="00A443C8"/>
    <w:rsid w:val="00A466BA"/>
    <w:rsid w:val="00A53ABD"/>
    <w:rsid w:val="00A544C4"/>
    <w:rsid w:val="00A55080"/>
    <w:rsid w:val="00A55FC9"/>
    <w:rsid w:val="00A60419"/>
    <w:rsid w:val="00A609CC"/>
    <w:rsid w:val="00A60B13"/>
    <w:rsid w:val="00A61A2C"/>
    <w:rsid w:val="00A6662C"/>
    <w:rsid w:val="00A71883"/>
    <w:rsid w:val="00A73BE8"/>
    <w:rsid w:val="00A74601"/>
    <w:rsid w:val="00A75582"/>
    <w:rsid w:val="00A81EB8"/>
    <w:rsid w:val="00A872BF"/>
    <w:rsid w:val="00A94B7F"/>
    <w:rsid w:val="00A9632A"/>
    <w:rsid w:val="00AA2696"/>
    <w:rsid w:val="00AA2CB4"/>
    <w:rsid w:val="00AA6949"/>
    <w:rsid w:val="00AA6C80"/>
    <w:rsid w:val="00AB17A1"/>
    <w:rsid w:val="00AB337B"/>
    <w:rsid w:val="00AB6D71"/>
    <w:rsid w:val="00AC02C7"/>
    <w:rsid w:val="00AC5666"/>
    <w:rsid w:val="00AC59CC"/>
    <w:rsid w:val="00AC6B7A"/>
    <w:rsid w:val="00AD25AA"/>
    <w:rsid w:val="00AD3029"/>
    <w:rsid w:val="00AE13E2"/>
    <w:rsid w:val="00AF7147"/>
    <w:rsid w:val="00AF7443"/>
    <w:rsid w:val="00B01D30"/>
    <w:rsid w:val="00B021BB"/>
    <w:rsid w:val="00B05304"/>
    <w:rsid w:val="00B11B41"/>
    <w:rsid w:val="00B14311"/>
    <w:rsid w:val="00B228C7"/>
    <w:rsid w:val="00B33EE4"/>
    <w:rsid w:val="00B34013"/>
    <w:rsid w:val="00B4200F"/>
    <w:rsid w:val="00B4438D"/>
    <w:rsid w:val="00B5016C"/>
    <w:rsid w:val="00B507BE"/>
    <w:rsid w:val="00B604A0"/>
    <w:rsid w:val="00B64CD7"/>
    <w:rsid w:val="00B650A3"/>
    <w:rsid w:val="00B65B05"/>
    <w:rsid w:val="00B65D49"/>
    <w:rsid w:val="00B67F51"/>
    <w:rsid w:val="00B7220F"/>
    <w:rsid w:val="00B747E6"/>
    <w:rsid w:val="00B75097"/>
    <w:rsid w:val="00B76395"/>
    <w:rsid w:val="00B82E42"/>
    <w:rsid w:val="00B914C0"/>
    <w:rsid w:val="00B9285E"/>
    <w:rsid w:val="00B93368"/>
    <w:rsid w:val="00B95BDF"/>
    <w:rsid w:val="00B95C76"/>
    <w:rsid w:val="00BA1998"/>
    <w:rsid w:val="00BA2471"/>
    <w:rsid w:val="00BB09CD"/>
    <w:rsid w:val="00BB23D6"/>
    <w:rsid w:val="00BC06D7"/>
    <w:rsid w:val="00BC201A"/>
    <w:rsid w:val="00BD7627"/>
    <w:rsid w:val="00C04689"/>
    <w:rsid w:val="00C05931"/>
    <w:rsid w:val="00C21B7C"/>
    <w:rsid w:val="00C220DF"/>
    <w:rsid w:val="00C24DD7"/>
    <w:rsid w:val="00C313FF"/>
    <w:rsid w:val="00C33C05"/>
    <w:rsid w:val="00C37712"/>
    <w:rsid w:val="00C37EBF"/>
    <w:rsid w:val="00C4340E"/>
    <w:rsid w:val="00C47E20"/>
    <w:rsid w:val="00C50AC9"/>
    <w:rsid w:val="00C53240"/>
    <w:rsid w:val="00C61241"/>
    <w:rsid w:val="00C6200C"/>
    <w:rsid w:val="00C64C5F"/>
    <w:rsid w:val="00C67CD5"/>
    <w:rsid w:val="00C76130"/>
    <w:rsid w:val="00C81E95"/>
    <w:rsid w:val="00C81F3B"/>
    <w:rsid w:val="00C82385"/>
    <w:rsid w:val="00C826B7"/>
    <w:rsid w:val="00C83D1C"/>
    <w:rsid w:val="00C97A11"/>
    <w:rsid w:val="00CA390F"/>
    <w:rsid w:val="00CA5C6E"/>
    <w:rsid w:val="00CB17EE"/>
    <w:rsid w:val="00CB7A9F"/>
    <w:rsid w:val="00CC3473"/>
    <w:rsid w:val="00CC5A52"/>
    <w:rsid w:val="00CD5918"/>
    <w:rsid w:val="00CD6E9C"/>
    <w:rsid w:val="00CF1DD8"/>
    <w:rsid w:val="00CF3839"/>
    <w:rsid w:val="00CF65B8"/>
    <w:rsid w:val="00D010CC"/>
    <w:rsid w:val="00D0198A"/>
    <w:rsid w:val="00D03249"/>
    <w:rsid w:val="00D1652A"/>
    <w:rsid w:val="00D24FA0"/>
    <w:rsid w:val="00D26370"/>
    <w:rsid w:val="00D35DB2"/>
    <w:rsid w:val="00D50CAC"/>
    <w:rsid w:val="00D52E14"/>
    <w:rsid w:val="00D56B89"/>
    <w:rsid w:val="00D60B2F"/>
    <w:rsid w:val="00D610AF"/>
    <w:rsid w:val="00D80DAB"/>
    <w:rsid w:val="00D81DB5"/>
    <w:rsid w:val="00D9016A"/>
    <w:rsid w:val="00D92C0A"/>
    <w:rsid w:val="00D9658D"/>
    <w:rsid w:val="00D96DD2"/>
    <w:rsid w:val="00D97DC6"/>
    <w:rsid w:val="00DA34CF"/>
    <w:rsid w:val="00DA6E4A"/>
    <w:rsid w:val="00DB32C9"/>
    <w:rsid w:val="00DC0041"/>
    <w:rsid w:val="00DC227E"/>
    <w:rsid w:val="00DC24A2"/>
    <w:rsid w:val="00DC6AFE"/>
    <w:rsid w:val="00DC7A06"/>
    <w:rsid w:val="00DD28D4"/>
    <w:rsid w:val="00DD70F4"/>
    <w:rsid w:val="00DD7B6A"/>
    <w:rsid w:val="00DE5F54"/>
    <w:rsid w:val="00DE6F82"/>
    <w:rsid w:val="00DE777B"/>
    <w:rsid w:val="00DF2D83"/>
    <w:rsid w:val="00DF5421"/>
    <w:rsid w:val="00E02F13"/>
    <w:rsid w:val="00E079ED"/>
    <w:rsid w:val="00E14788"/>
    <w:rsid w:val="00E20AC8"/>
    <w:rsid w:val="00E41780"/>
    <w:rsid w:val="00E5269C"/>
    <w:rsid w:val="00E67B63"/>
    <w:rsid w:val="00E7228A"/>
    <w:rsid w:val="00E7252E"/>
    <w:rsid w:val="00E72B9D"/>
    <w:rsid w:val="00E8333C"/>
    <w:rsid w:val="00E835BE"/>
    <w:rsid w:val="00E873FA"/>
    <w:rsid w:val="00EA331F"/>
    <w:rsid w:val="00EA7383"/>
    <w:rsid w:val="00EB5DB2"/>
    <w:rsid w:val="00EB5FEB"/>
    <w:rsid w:val="00EC0A1B"/>
    <w:rsid w:val="00EC2071"/>
    <w:rsid w:val="00EC40DA"/>
    <w:rsid w:val="00ED0DF4"/>
    <w:rsid w:val="00ED5FEA"/>
    <w:rsid w:val="00ED7246"/>
    <w:rsid w:val="00EE770F"/>
    <w:rsid w:val="00EF2B11"/>
    <w:rsid w:val="00F016EA"/>
    <w:rsid w:val="00F021EF"/>
    <w:rsid w:val="00F04270"/>
    <w:rsid w:val="00F139DA"/>
    <w:rsid w:val="00F15DF2"/>
    <w:rsid w:val="00F16C08"/>
    <w:rsid w:val="00F17D18"/>
    <w:rsid w:val="00F20C20"/>
    <w:rsid w:val="00F21F59"/>
    <w:rsid w:val="00F33DF9"/>
    <w:rsid w:val="00F355C9"/>
    <w:rsid w:val="00F40BEC"/>
    <w:rsid w:val="00F41857"/>
    <w:rsid w:val="00F4410D"/>
    <w:rsid w:val="00F569D1"/>
    <w:rsid w:val="00F57AAE"/>
    <w:rsid w:val="00F63213"/>
    <w:rsid w:val="00F64306"/>
    <w:rsid w:val="00F65BF4"/>
    <w:rsid w:val="00F737AF"/>
    <w:rsid w:val="00F73F78"/>
    <w:rsid w:val="00F77407"/>
    <w:rsid w:val="00F77877"/>
    <w:rsid w:val="00F8234C"/>
    <w:rsid w:val="00F87A79"/>
    <w:rsid w:val="00F87C78"/>
    <w:rsid w:val="00F90DF3"/>
    <w:rsid w:val="00F97517"/>
    <w:rsid w:val="00FA063B"/>
    <w:rsid w:val="00FA2412"/>
    <w:rsid w:val="00FA392B"/>
    <w:rsid w:val="00FC058B"/>
    <w:rsid w:val="00FC5982"/>
    <w:rsid w:val="00FD0C82"/>
    <w:rsid w:val="00FD7760"/>
    <w:rsid w:val="00FD7B6E"/>
    <w:rsid w:val="00FD7CBB"/>
    <w:rsid w:val="00FF735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E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30F29"/>
    <w:pPr>
      <w:ind w:left="720"/>
      <w:contextualSpacing/>
    </w:pPr>
  </w:style>
  <w:style w:type="paragraph" w:styleId="aa">
    <w:name w:val="Document Map"/>
    <w:basedOn w:val="a"/>
    <w:link w:val="ab"/>
    <w:uiPriority w:val="99"/>
    <w:semiHidden/>
    <w:unhideWhenUsed/>
    <w:rsid w:val="004D5070"/>
    <w:pPr>
      <w:spacing w:after="0" w:line="240" w:lineRule="auto"/>
    </w:pPr>
    <w:rPr>
      <w:rFonts w:ascii="Tahoma" w:hAnsi="Tahoma" w:cs="Tahoma"/>
      <w:sz w:val="16"/>
      <w:szCs w:val="16"/>
    </w:rPr>
  </w:style>
  <w:style w:type="character" w:customStyle="1" w:styleId="ab">
    <w:name w:val="Схема документа Знак"/>
    <w:basedOn w:val="a0"/>
    <w:link w:val="aa"/>
    <w:uiPriority w:val="99"/>
    <w:semiHidden/>
    <w:rsid w:val="004D5070"/>
    <w:rPr>
      <w:rFonts w:ascii="Tahoma" w:hAnsi="Tahoma" w:cs="Tahoma"/>
      <w:sz w:val="16"/>
      <w:szCs w:val="16"/>
    </w:rPr>
  </w:style>
  <w:style w:type="paragraph" w:styleId="ac">
    <w:name w:val="Title"/>
    <w:basedOn w:val="a"/>
    <w:link w:val="ad"/>
    <w:qFormat/>
    <w:rsid w:val="00A53ABD"/>
    <w:pPr>
      <w:spacing w:after="0" w:line="240" w:lineRule="auto"/>
      <w:jc w:val="center"/>
    </w:pPr>
    <w:rPr>
      <w:rFonts w:ascii="Times New Roman" w:eastAsia="SimSun" w:hAnsi="Times New Roman" w:cs="Times New Roman"/>
      <w:b/>
      <w:bCs/>
      <w:sz w:val="28"/>
      <w:szCs w:val="28"/>
      <w:lang w:eastAsia="ru-RU"/>
    </w:rPr>
  </w:style>
  <w:style w:type="character" w:customStyle="1" w:styleId="ad">
    <w:name w:val="Название Знак"/>
    <w:basedOn w:val="a0"/>
    <w:link w:val="ac"/>
    <w:rsid w:val="00A53ABD"/>
    <w:rPr>
      <w:rFonts w:ascii="Times New Roman" w:eastAsia="SimSu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07F89"/>
  </w:style>
  <w:style w:type="character" w:styleId="a3">
    <w:name w:val="Hyperlink"/>
    <w:rsid w:val="00207F89"/>
    <w:rPr>
      <w:color w:val="0066CC"/>
      <w:u w:val="single"/>
    </w:rPr>
  </w:style>
  <w:style w:type="character" w:customStyle="1" w:styleId="3">
    <w:name w:val="Основной текст (3)_"/>
    <w:link w:val="30"/>
    <w:rsid w:val="00207F89"/>
    <w:rPr>
      <w:rFonts w:ascii="Times New Roman" w:eastAsia="Times New Roman" w:hAnsi="Times New Roman" w:cs="Times New Roman"/>
      <w:b/>
      <w:bCs/>
      <w:sz w:val="26"/>
      <w:szCs w:val="26"/>
      <w:shd w:val="clear" w:color="auto" w:fill="FFFFFF"/>
    </w:rPr>
  </w:style>
  <w:style w:type="character" w:customStyle="1" w:styleId="2">
    <w:name w:val="Основной текст (2)_"/>
    <w:rsid w:val="00207F89"/>
    <w:rPr>
      <w:rFonts w:ascii="Times New Roman" w:eastAsia="Times New Roman" w:hAnsi="Times New Roman" w:cs="Times New Roman"/>
      <w:b w:val="0"/>
      <w:bCs w:val="0"/>
      <w:i w:val="0"/>
      <w:iCs w:val="0"/>
      <w:smallCaps w:val="0"/>
      <w:strike w:val="0"/>
      <w:sz w:val="28"/>
      <w:szCs w:val="28"/>
      <w:u w:val="none"/>
    </w:rPr>
  </w:style>
  <w:style w:type="character" w:customStyle="1" w:styleId="24pt">
    <w:name w:val="Основной текст (2) + Интервал 4 pt"/>
    <w:rsid w:val="00207F89"/>
    <w:rPr>
      <w:rFonts w:ascii="Times New Roman" w:eastAsia="Times New Roman" w:hAnsi="Times New Roman" w:cs="Times New Roman"/>
      <w:b w:val="0"/>
      <w:bCs w:val="0"/>
      <w:i w:val="0"/>
      <w:iCs w:val="0"/>
      <w:smallCaps w:val="0"/>
      <w:strike w:val="0"/>
      <w:color w:val="000000"/>
      <w:spacing w:val="90"/>
      <w:w w:val="100"/>
      <w:position w:val="0"/>
      <w:sz w:val="28"/>
      <w:szCs w:val="28"/>
      <w:u w:val="none"/>
      <w:lang w:val="uk-UA" w:eastAsia="uk-UA" w:bidi="uk-UA"/>
    </w:rPr>
  </w:style>
  <w:style w:type="character" w:customStyle="1" w:styleId="213pt">
    <w:name w:val="Основной текст (2) + 13 pt;Полужирный;Курсив"/>
    <w:rsid w:val="00207F89"/>
    <w:rPr>
      <w:rFonts w:ascii="Times New Roman" w:eastAsia="Times New Roman" w:hAnsi="Times New Roman" w:cs="Times New Roman"/>
      <w:b/>
      <w:bCs/>
      <w:i/>
      <w:iCs/>
      <w:smallCaps w:val="0"/>
      <w:strike w:val="0"/>
      <w:color w:val="000000"/>
      <w:spacing w:val="0"/>
      <w:w w:val="100"/>
      <w:position w:val="0"/>
      <w:sz w:val="26"/>
      <w:szCs w:val="26"/>
      <w:u w:val="none"/>
      <w:lang w:val="uk-UA" w:eastAsia="uk-UA" w:bidi="uk-UA"/>
    </w:rPr>
  </w:style>
  <w:style w:type="character" w:customStyle="1" w:styleId="2105pt">
    <w:name w:val="Основной текст (2) + 10;5 pt;Полужирный"/>
    <w:rsid w:val="00207F89"/>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0">
    <w:name w:val="Основной текст (2)"/>
    <w:rsid w:val="00207F8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85pt0pt">
    <w:name w:val="Основной текст (2) + 8;5 pt;Полужирный;Интервал 0 pt"/>
    <w:rsid w:val="00207F89"/>
    <w:rPr>
      <w:rFonts w:ascii="Times New Roman" w:eastAsia="Times New Roman" w:hAnsi="Times New Roman" w:cs="Times New Roman"/>
      <w:b/>
      <w:bCs/>
      <w:i w:val="0"/>
      <w:iCs w:val="0"/>
      <w:smallCaps w:val="0"/>
      <w:strike w:val="0"/>
      <w:color w:val="000000"/>
      <w:spacing w:val="10"/>
      <w:w w:val="100"/>
      <w:position w:val="0"/>
      <w:sz w:val="17"/>
      <w:szCs w:val="17"/>
      <w:u w:val="none"/>
      <w:lang w:val="uk-UA" w:eastAsia="uk-UA" w:bidi="uk-UA"/>
    </w:rPr>
  </w:style>
  <w:style w:type="character" w:customStyle="1" w:styleId="295pt">
    <w:name w:val="Основной текст (2) + 9;5 pt;Курсив"/>
    <w:rsid w:val="00207F8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9pt">
    <w:name w:val="Основной текст (2) + 9 pt;Полужирный;Курсив"/>
    <w:rsid w:val="00207F89"/>
    <w:rPr>
      <w:rFonts w:ascii="Times New Roman" w:eastAsia="Times New Roman" w:hAnsi="Times New Roman" w:cs="Times New Roman"/>
      <w:b/>
      <w:bCs/>
      <w:i/>
      <w:iCs/>
      <w:smallCaps w:val="0"/>
      <w:strike w:val="0"/>
      <w:color w:val="000000"/>
      <w:spacing w:val="0"/>
      <w:w w:val="100"/>
      <w:position w:val="0"/>
      <w:sz w:val="18"/>
      <w:szCs w:val="18"/>
      <w:u w:val="none"/>
      <w:lang w:val="uk-UA" w:eastAsia="uk-UA" w:bidi="uk-UA"/>
    </w:rPr>
  </w:style>
  <w:style w:type="character" w:customStyle="1" w:styleId="29pt0">
    <w:name w:val="Основной текст (2) + 9 pt;Курсив"/>
    <w:rsid w:val="00207F89"/>
    <w:rPr>
      <w:rFonts w:ascii="Times New Roman" w:eastAsia="Times New Roman" w:hAnsi="Times New Roman" w:cs="Times New Roman"/>
      <w:b w:val="0"/>
      <w:bCs w:val="0"/>
      <w:i/>
      <w:iCs/>
      <w:smallCaps w:val="0"/>
      <w:strike w:val="0"/>
      <w:color w:val="000000"/>
      <w:spacing w:val="0"/>
      <w:w w:val="100"/>
      <w:position w:val="0"/>
      <w:sz w:val="18"/>
      <w:szCs w:val="18"/>
      <w:u w:val="none"/>
      <w:lang w:val="uk-UA" w:eastAsia="uk-UA" w:bidi="uk-UA"/>
    </w:rPr>
  </w:style>
  <w:style w:type="character" w:customStyle="1" w:styleId="2PalatinoLinotype4pt">
    <w:name w:val="Основной текст (2) + Palatino Linotype;4 pt"/>
    <w:rsid w:val="00207F89"/>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uk-UA" w:eastAsia="uk-UA" w:bidi="uk-UA"/>
    </w:rPr>
  </w:style>
  <w:style w:type="character" w:customStyle="1" w:styleId="2CenturyGothic45pt">
    <w:name w:val="Основной текст (2) + Century Gothic;4;5 pt"/>
    <w:rsid w:val="00207F89"/>
    <w:rPr>
      <w:rFonts w:ascii="Century Gothic" w:eastAsia="Century Gothic" w:hAnsi="Century Gothic" w:cs="Century Gothic"/>
      <w:b w:val="0"/>
      <w:bCs w:val="0"/>
      <w:i w:val="0"/>
      <w:iCs w:val="0"/>
      <w:smallCaps w:val="0"/>
      <w:strike w:val="0"/>
      <w:color w:val="000000"/>
      <w:spacing w:val="0"/>
      <w:w w:val="100"/>
      <w:position w:val="0"/>
      <w:sz w:val="9"/>
      <w:szCs w:val="9"/>
      <w:u w:val="none"/>
      <w:lang w:val="uk-UA" w:eastAsia="uk-UA" w:bidi="uk-UA"/>
    </w:rPr>
  </w:style>
  <w:style w:type="character" w:customStyle="1" w:styleId="a4">
    <w:name w:val="Подпись к таблице_"/>
    <w:link w:val="a5"/>
    <w:rsid w:val="00207F89"/>
    <w:rPr>
      <w:rFonts w:ascii="Times New Roman" w:eastAsia="Times New Roman" w:hAnsi="Times New Roman" w:cs="Times New Roman"/>
      <w:sz w:val="28"/>
      <w:szCs w:val="28"/>
      <w:shd w:val="clear" w:color="auto" w:fill="FFFFFF"/>
    </w:rPr>
  </w:style>
  <w:style w:type="character" w:customStyle="1" w:styleId="213pt0">
    <w:name w:val="Основной текст (2) + 13 pt;Полужирный"/>
    <w:rsid w:val="00207F89"/>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105pt1pt">
    <w:name w:val="Основной текст (2) + 10;5 pt;Полужирный;Интервал 1 pt"/>
    <w:rsid w:val="00207F89"/>
    <w:rPr>
      <w:rFonts w:ascii="Times New Roman" w:eastAsia="Times New Roman" w:hAnsi="Times New Roman" w:cs="Times New Roman"/>
      <w:b/>
      <w:bCs/>
      <w:i w:val="0"/>
      <w:iCs w:val="0"/>
      <w:smallCaps w:val="0"/>
      <w:strike w:val="0"/>
      <w:color w:val="000000"/>
      <w:spacing w:val="30"/>
      <w:w w:val="100"/>
      <w:position w:val="0"/>
      <w:sz w:val="21"/>
      <w:szCs w:val="21"/>
      <w:u w:val="none"/>
      <w:lang w:val="uk-UA" w:eastAsia="uk-UA" w:bidi="uk-UA"/>
    </w:rPr>
  </w:style>
  <w:style w:type="character" w:customStyle="1" w:styleId="2Tahoma12pt">
    <w:name w:val="Основной текст (2) + Tahoma;12 pt"/>
    <w:rsid w:val="00207F89"/>
    <w:rPr>
      <w:rFonts w:ascii="Tahoma" w:eastAsia="Tahoma" w:hAnsi="Tahoma" w:cs="Tahoma"/>
      <w:b w:val="0"/>
      <w:bCs w:val="0"/>
      <w:i w:val="0"/>
      <w:iCs w:val="0"/>
      <w:smallCaps w:val="0"/>
      <w:strike w:val="0"/>
      <w:color w:val="000000"/>
      <w:spacing w:val="0"/>
      <w:w w:val="100"/>
      <w:position w:val="0"/>
      <w:sz w:val="24"/>
      <w:szCs w:val="24"/>
      <w:u w:val="none"/>
      <w:lang w:val="uk-UA" w:eastAsia="uk-UA" w:bidi="uk-UA"/>
    </w:rPr>
  </w:style>
  <w:style w:type="character" w:customStyle="1" w:styleId="2Tahoma10pt">
    <w:name w:val="Основной текст (2) + Tahoma;10 pt"/>
    <w:rsid w:val="00207F89"/>
    <w:rPr>
      <w:rFonts w:ascii="Tahoma" w:eastAsia="Tahoma" w:hAnsi="Tahoma" w:cs="Tahoma"/>
      <w:b w:val="0"/>
      <w:bCs w:val="0"/>
      <w:i w:val="0"/>
      <w:iCs w:val="0"/>
      <w:smallCaps w:val="0"/>
      <w:strike w:val="0"/>
      <w:color w:val="000000"/>
      <w:spacing w:val="0"/>
      <w:w w:val="100"/>
      <w:position w:val="0"/>
      <w:sz w:val="20"/>
      <w:szCs w:val="20"/>
      <w:u w:val="none"/>
      <w:lang w:val="uk-UA" w:eastAsia="uk-UA" w:bidi="uk-UA"/>
    </w:rPr>
  </w:style>
  <w:style w:type="character" w:customStyle="1" w:styleId="4">
    <w:name w:val="Основной текст (4)_"/>
    <w:rsid w:val="00207F89"/>
    <w:rPr>
      <w:rFonts w:ascii="Times New Roman" w:eastAsia="Times New Roman" w:hAnsi="Times New Roman" w:cs="Times New Roman"/>
      <w:b w:val="0"/>
      <w:bCs w:val="0"/>
      <w:i w:val="0"/>
      <w:iCs w:val="0"/>
      <w:smallCaps w:val="0"/>
      <w:strike w:val="0"/>
      <w:sz w:val="15"/>
      <w:szCs w:val="15"/>
      <w:u w:val="none"/>
    </w:rPr>
  </w:style>
  <w:style w:type="character" w:customStyle="1" w:styleId="40">
    <w:name w:val="Основной текст (4) + Полужирный"/>
    <w:rsid w:val="00207F89"/>
    <w:rPr>
      <w:rFonts w:ascii="Times New Roman" w:eastAsia="Times New Roman" w:hAnsi="Times New Roman" w:cs="Times New Roman"/>
      <w:b/>
      <w:bCs/>
      <w:i w:val="0"/>
      <w:iCs w:val="0"/>
      <w:smallCaps w:val="0"/>
      <w:strike w:val="0"/>
      <w:color w:val="000000"/>
      <w:spacing w:val="0"/>
      <w:w w:val="100"/>
      <w:position w:val="0"/>
      <w:sz w:val="15"/>
      <w:szCs w:val="15"/>
      <w:u w:val="none"/>
      <w:lang w:val="uk-UA" w:eastAsia="uk-UA" w:bidi="uk-UA"/>
    </w:rPr>
  </w:style>
  <w:style w:type="character" w:customStyle="1" w:styleId="41">
    <w:name w:val="Основной текст (4)"/>
    <w:rsid w:val="00207F8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uk-UA" w:eastAsia="uk-UA" w:bidi="uk-UA"/>
    </w:rPr>
  </w:style>
  <w:style w:type="paragraph" w:customStyle="1" w:styleId="30">
    <w:name w:val="Основной текст (3)"/>
    <w:basedOn w:val="a"/>
    <w:link w:val="3"/>
    <w:rsid w:val="00207F89"/>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207F89"/>
    <w:pPr>
      <w:widowControl w:val="0"/>
      <w:shd w:val="clear" w:color="auto" w:fill="FFFFFF"/>
      <w:spacing w:after="0" w:line="0" w:lineRule="atLeast"/>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207F89"/>
    <w:pPr>
      <w:widowControl w:val="0"/>
      <w:spacing w:after="0" w:line="240" w:lineRule="auto"/>
    </w:pPr>
    <w:rPr>
      <w:rFonts w:ascii="Tahoma" w:eastAsia="Arial Unicode MS" w:hAnsi="Tahoma" w:cs="Tahoma"/>
      <w:color w:val="000000"/>
      <w:sz w:val="16"/>
      <w:szCs w:val="16"/>
      <w:lang w:eastAsia="uk-UA" w:bidi="uk-UA"/>
    </w:rPr>
  </w:style>
  <w:style w:type="character" w:customStyle="1" w:styleId="a7">
    <w:name w:val="Текст выноски Знак"/>
    <w:basedOn w:val="a0"/>
    <w:link w:val="a6"/>
    <w:uiPriority w:val="99"/>
    <w:semiHidden/>
    <w:rsid w:val="00207F89"/>
    <w:rPr>
      <w:rFonts w:ascii="Tahoma" w:eastAsia="Arial Unicode MS" w:hAnsi="Tahoma" w:cs="Tahoma"/>
      <w:color w:val="000000"/>
      <w:sz w:val="16"/>
      <w:szCs w:val="16"/>
      <w:lang w:eastAsia="uk-UA" w:bidi="uk-UA"/>
    </w:rPr>
  </w:style>
  <w:style w:type="table" w:styleId="a8">
    <w:name w:val="Table Grid"/>
    <w:basedOn w:val="a1"/>
    <w:uiPriority w:val="59"/>
    <w:rsid w:val="00207F89"/>
    <w:pPr>
      <w:spacing w:after="0" w:line="240" w:lineRule="auto"/>
    </w:pPr>
    <w:rPr>
      <w:rFonts w:ascii="Arial Unicode MS" w:eastAsia="Arial Unicode MS" w:hAnsi="Arial Unicode MS" w:cs="Arial Unicode MS"/>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30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152">
      <w:bodyDiv w:val="1"/>
      <w:marLeft w:val="0"/>
      <w:marRight w:val="0"/>
      <w:marTop w:val="0"/>
      <w:marBottom w:val="0"/>
      <w:divBdr>
        <w:top w:val="none" w:sz="0" w:space="0" w:color="auto"/>
        <w:left w:val="none" w:sz="0" w:space="0" w:color="auto"/>
        <w:bottom w:val="none" w:sz="0" w:space="0" w:color="auto"/>
        <w:right w:val="none" w:sz="0" w:space="0" w:color="auto"/>
      </w:divBdr>
    </w:div>
    <w:div w:id="18048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a:t>навантаження</a:t>
            </a:r>
          </a:p>
        </c:rich>
      </c:tx>
      <c:overlay val="0"/>
    </c:title>
    <c:autoTitleDeleted val="0"/>
    <c:plotArea>
      <c:layout/>
      <c:barChart>
        <c:barDir val="col"/>
        <c:grouping val="clustered"/>
        <c:varyColors val="0"/>
        <c:ser>
          <c:idx val="0"/>
          <c:order val="0"/>
          <c:tx>
            <c:strRef>
              <c:f>Лист1!$B$1</c:f>
              <c:strCache>
                <c:ptCount val="1"/>
                <c:pt idx="0">
                  <c:v>перебувало на розгляді</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8082</c:v>
                </c:pt>
                <c:pt idx="1">
                  <c:v>8580</c:v>
                </c:pt>
                <c:pt idx="2">
                  <c:v>13535</c:v>
                </c:pt>
              </c:numCache>
            </c:numRef>
          </c:val>
        </c:ser>
        <c:ser>
          <c:idx val="1"/>
          <c:order val="1"/>
          <c:tx>
            <c:strRef>
              <c:f>Лист1!$C$1</c:f>
              <c:strCache>
                <c:ptCount val="1"/>
                <c:pt idx="0">
                  <c:v>надійшло</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6809</c:v>
                </c:pt>
                <c:pt idx="1">
                  <c:v>7443</c:v>
                </c:pt>
                <c:pt idx="2">
                  <c:v>11940</c:v>
                </c:pt>
              </c:numCache>
            </c:numRef>
          </c:val>
        </c:ser>
        <c:ser>
          <c:idx val="2"/>
          <c:order val="2"/>
          <c:tx>
            <c:strRef>
              <c:f>Лист1!$D$1</c:f>
              <c:strCache>
                <c:ptCount val="1"/>
                <c:pt idx="0">
                  <c:v>розглянуто</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6943</c:v>
                </c:pt>
                <c:pt idx="1">
                  <c:v>6873</c:v>
                </c:pt>
                <c:pt idx="2">
                  <c:v>11773</c:v>
                </c:pt>
              </c:numCache>
            </c:numRef>
          </c:val>
        </c:ser>
        <c:ser>
          <c:idx val="3"/>
          <c:order val="3"/>
          <c:tx>
            <c:strRef>
              <c:f>Лист1!$E$1</c:f>
              <c:strCache>
                <c:ptCount val="1"/>
                <c:pt idx="0">
                  <c:v>залишок</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1139</c:v>
                </c:pt>
                <c:pt idx="1">
                  <c:v>1707</c:v>
                </c:pt>
                <c:pt idx="2">
                  <c:v>1762</c:v>
                </c:pt>
              </c:numCache>
            </c:numRef>
          </c:val>
        </c:ser>
        <c:dLbls>
          <c:showLegendKey val="0"/>
          <c:showVal val="1"/>
          <c:showCatName val="0"/>
          <c:showSerName val="0"/>
          <c:showPercent val="0"/>
          <c:showBubbleSize val="0"/>
        </c:dLbls>
        <c:gapWidth val="150"/>
        <c:overlap val="-25"/>
        <c:axId val="232959360"/>
        <c:axId val="232965248"/>
      </c:barChart>
      <c:catAx>
        <c:axId val="232959360"/>
        <c:scaling>
          <c:orientation val="minMax"/>
        </c:scaling>
        <c:delete val="0"/>
        <c:axPos val="b"/>
        <c:numFmt formatCode="General" sourceLinked="1"/>
        <c:majorTickMark val="none"/>
        <c:minorTickMark val="none"/>
        <c:tickLblPos val="nextTo"/>
        <c:crossAx val="232965248"/>
        <c:crosses val="autoZero"/>
        <c:auto val="1"/>
        <c:lblAlgn val="ctr"/>
        <c:lblOffset val="100"/>
        <c:noMultiLvlLbl val="0"/>
      </c:catAx>
      <c:valAx>
        <c:axId val="232965248"/>
        <c:scaling>
          <c:orientation val="minMax"/>
        </c:scaling>
        <c:delete val="1"/>
        <c:axPos val="l"/>
        <c:numFmt formatCode="General" sourceLinked="1"/>
        <c:majorTickMark val="none"/>
        <c:minorTickMark val="none"/>
        <c:tickLblPos val="nextTo"/>
        <c:crossAx val="232959360"/>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надходження справ та матеріалів</a:t>
            </a:r>
          </a:p>
        </c:rich>
      </c:tx>
      <c:overlay val="0"/>
    </c:title>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Лист1!$B$2:$B$13</c:f>
              <c:numCache>
                <c:formatCode>General</c:formatCode>
                <c:ptCount val="12"/>
                <c:pt idx="0">
                  <c:v>638</c:v>
                </c:pt>
                <c:pt idx="1">
                  <c:v>635</c:v>
                </c:pt>
                <c:pt idx="2">
                  <c:v>832</c:v>
                </c:pt>
                <c:pt idx="3">
                  <c:v>1633</c:v>
                </c:pt>
                <c:pt idx="4">
                  <c:v>1792</c:v>
                </c:pt>
                <c:pt idx="5">
                  <c:v>943</c:v>
                </c:pt>
                <c:pt idx="6">
                  <c:v>921</c:v>
                </c:pt>
                <c:pt idx="7">
                  <c:v>905</c:v>
                </c:pt>
                <c:pt idx="8">
                  <c:v>910</c:v>
                </c:pt>
                <c:pt idx="9">
                  <c:v>1058</c:v>
                </c:pt>
                <c:pt idx="10">
                  <c:v>1170</c:v>
                </c:pt>
                <c:pt idx="11">
                  <c:v>743</c:v>
                </c:pt>
              </c:numCache>
            </c:numRef>
          </c:val>
        </c:ser>
        <c:ser>
          <c:idx val="1"/>
          <c:order val="1"/>
          <c:tx>
            <c:strRef>
              <c:f>Лист1!$C$1</c:f>
              <c:strCache>
                <c:ptCount val="1"/>
                <c:pt idx="0">
                  <c:v>2017</c:v>
                </c:pt>
              </c:strCache>
            </c:strRef>
          </c:tx>
          <c:invertIfNegative val="0"/>
          <c:cat>
            <c:strRef>
              <c:f>Лист1!$A$2:$A$13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Лист1!$C$2:$C$13</c:f>
              <c:numCache>
                <c:formatCode>General</c:formatCode>
                <c:ptCount val="12"/>
                <c:pt idx="0">
                  <c:v>452</c:v>
                </c:pt>
                <c:pt idx="1">
                  <c:v>525</c:v>
                </c:pt>
                <c:pt idx="2">
                  <c:v>469</c:v>
                </c:pt>
                <c:pt idx="3">
                  <c:v>532</c:v>
                </c:pt>
                <c:pt idx="4">
                  <c:v>698</c:v>
                </c:pt>
                <c:pt idx="5">
                  <c:v>561</c:v>
                </c:pt>
                <c:pt idx="6">
                  <c:v>673</c:v>
                </c:pt>
                <c:pt idx="7">
                  <c:v>515</c:v>
                </c:pt>
                <c:pt idx="8">
                  <c:v>389</c:v>
                </c:pt>
                <c:pt idx="9">
                  <c:v>807</c:v>
                </c:pt>
                <c:pt idx="10">
                  <c:v>751</c:v>
                </c:pt>
                <c:pt idx="11">
                  <c:v>1071</c:v>
                </c:pt>
              </c:numCache>
            </c:numRef>
          </c:val>
        </c:ser>
        <c:dLbls>
          <c:showLegendKey val="0"/>
          <c:showVal val="1"/>
          <c:showCatName val="0"/>
          <c:showSerName val="0"/>
          <c:showPercent val="0"/>
          <c:showBubbleSize val="0"/>
        </c:dLbls>
        <c:gapWidth val="75"/>
        <c:axId val="232675968"/>
        <c:axId val="232685952"/>
      </c:barChart>
      <c:catAx>
        <c:axId val="232675968"/>
        <c:scaling>
          <c:orientation val="minMax"/>
        </c:scaling>
        <c:delete val="0"/>
        <c:axPos val="b"/>
        <c:majorTickMark val="none"/>
        <c:minorTickMark val="none"/>
        <c:tickLblPos val="nextTo"/>
        <c:crossAx val="232685952"/>
        <c:crosses val="autoZero"/>
        <c:auto val="1"/>
        <c:lblAlgn val="ctr"/>
        <c:lblOffset val="100"/>
        <c:noMultiLvlLbl val="0"/>
      </c:catAx>
      <c:valAx>
        <c:axId val="232685952"/>
        <c:scaling>
          <c:orientation val="minMax"/>
        </c:scaling>
        <c:delete val="0"/>
        <c:axPos val="l"/>
        <c:majorGridlines/>
        <c:numFmt formatCode="General" sourceLinked="1"/>
        <c:majorTickMark val="none"/>
        <c:minorTickMark val="none"/>
        <c:tickLblPos val="nextTo"/>
        <c:crossAx val="2326759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invertIfNegative val="0"/>
          <c:cat>
            <c:strRef>
              <c:f>Лист1!$A$2</c:f>
              <c:strCache>
                <c:ptCount val="1"/>
                <c:pt idx="0">
                  <c:v>середньомісячне надходження</c:v>
                </c:pt>
              </c:strCache>
            </c:strRef>
          </c:cat>
          <c:val>
            <c:numRef>
              <c:f>Лист1!$B$2</c:f>
              <c:numCache>
                <c:formatCode>General</c:formatCode>
                <c:ptCount val="1"/>
                <c:pt idx="0">
                  <c:v>44</c:v>
                </c:pt>
              </c:numCache>
            </c:numRef>
          </c:val>
        </c:ser>
        <c:ser>
          <c:idx val="1"/>
          <c:order val="1"/>
          <c:tx>
            <c:strRef>
              <c:f>Лист1!$C$1</c:f>
              <c:strCache>
                <c:ptCount val="1"/>
                <c:pt idx="0">
                  <c:v>2017</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cat>
            <c:strRef>
              <c:f>Лист1!$A$2</c:f>
              <c:strCache>
                <c:ptCount val="1"/>
                <c:pt idx="0">
                  <c:v>середньомісячне надходження</c:v>
                </c:pt>
              </c:strCache>
            </c:strRef>
          </c:cat>
          <c:val>
            <c:numRef>
              <c:f>Лист1!$C$2</c:f>
              <c:numCache>
                <c:formatCode>General</c:formatCode>
                <c:ptCount val="1"/>
                <c:pt idx="0">
                  <c:v>67</c:v>
                </c:pt>
              </c:numCache>
            </c:numRef>
          </c:val>
        </c:ser>
        <c:ser>
          <c:idx val="2"/>
          <c:order val="2"/>
          <c:tx>
            <c:strRef>
              <c:f>Лист1!$D$1</c:f>
              <c:strCache>
                <c:ptCount val="1"/>
                <c:pt idx="0">
                  <c:v>2018</c:v>
                </c:pt>
              </c:strCache>
            </c:strRef>
          </c:tx>
          <c:invertIfNegative val="0"/>
          <c:cat>
            <c:strRef>
              <c:f>Лист1!$A$2</c:f>
              <c:strCache>
                <c:ptCount val="1"/>
                <c:pt idx="0">
                  <c:v>середньомісячне надходження</c:v>
                </c:pt>
              </c:strCache>
            </c:strRef>
          </c:cat>
          <c:val>
            <c:numRef>
              <c:f>Лист1!$D$2</c:f>
              <c:numCache>
                <c:formatCode>General</c:formatCode>
                <c:ptCount val="1"/>
                <c:pt idx="0">
                  <c:v>79</c:v>
                </c:pt>
              </c:numCache>
            </c:numRef>
          </c:val>
        </c:ser>
        <c:dLbls>
          <c:showLegendKey val="0"/>
          <c:showVal val="1"/>
          <c:showCatName val="0"/>
          <c:showSerName val="0"/>
          <c:showPercent val="0"/>
          <c:showBubbleSize val="0"/>
        </c:dLbls>
        <c:gapWidth val="75"/>
        <c:overlap val="-8"/>
        <c:axId val="232697856"/>
        <c:axId val="232699392"/>
      </c:barChart>
      <c:catAx>
        <c:axId val="232697856"/>
        <c:scaling>
          <c:orientation val="minMax"/>
        </c:scaling>
        <c:delete val="0"/>
        <c:axPos val="b"/>
        <c:majorTickMark val="none"/>
        <c:minorTickMark val="none"/>
        <c:tickLblPos val="nextTo"/>
        <c:crossAx val="232699392"/>
        <c:crosses val="autoZero"/>
        <c:auto val="1"/>
        <c:lblAlgn val="ctr"/>
        <c:lblOffset val="100"/>
        <c:noMultiLvlLbl val="0"/>
      </c:catAx>
      <c:valAx>
        <c:axId val="232699392"/>
        <c:scaling>
          <c:orientation val="minMax"/>
        </c:scaling>
        <c:delete val="0"/>
        <c:axPos val="l"/>
        <c:numFmt formatCode="General" sourceLinked="1"/>
        <c:majorTickMark val="none"/>
        <c:minorTickMark val="none"/>
        <c:tickLblPos val="nextTo"/>
        <c:crossAx val="232697856"/>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baseline="0"/>
            </a:pPr>
            <a:r>
              <a:rPr lang="uk-UA" sz="1000" baseline="0"/>
              <a:t>Порівняльні  показники  розгляду  справ</a:t>
            </a:r>
          </a:p>
        </c:rich>
      </c:tx>
      <c:overlay val="0"/>
    </c:title>
    <c:autoTitleDeleted val="0"/>
    <c:plotArea>
      <c:layout>
        <c:manualLayout>
          <c:layoutTarget val="inner"/>
          <c:xMode val="edge"/>
          <c:yMode val="edge"/>
          <c:x val="8.7674368397355693E-2"/>
          <c:y val="0.11161154116819141"/>
          <c:w val="0.88377264753652485"/>
          <c:h val="0.6320059681431246"/>
        </c:manualLayout>
      </c:layout>
      <c:barChart>
        <c:barDir val="col"/>
        <c:grouping val="clustered"/>
        <c:varyColors val="0"/>
        <c:ser>
          <c:idx val="0"/>
          <c:order val="0"/>
          <c:tx>
            <c:strRef>
              <c:f>Лист1!$B$1</c:f>
              <c:strCache>
                <c:ptCount val="1"/>
                <c:pt idx="0">
                  <c:v>2017</c:v>
                </c:pt>
              </c:strCache>
            </c:strRef>
          </c:tx>
          <c:invertIfNegative val="0"/>
          <c:cat>
            <c:strRef>
              <c:f>Лист1!$A$2:$A$11</c:f>
              <c:strCache>
                <c:ptCount val="10"/>
                <c:pt idx="0">
                  <c:v>перебувало на розгляді справ</c:v>
                </c:pt>
                <c:pt idx="1">
                  <c:v>розглянуто справ</c:v>
                </c:pt>
                <c:pt idx="2">
                  <c:v>прийнято постанов, рішень</c:v>
                </c:pt>
                <c:pt idx="3">
                  <c:v>позов задоволено</c:v>
                </c:pt>
                <c:pt idx="4">
                  <c:v>передано за підсудністю </c:v>
                </c:pt>
                <c:pt idx="5">
                  <c:v>закрито провадження</c:v>
                </c:pt>
                <c:pt idx="6">
                  <c:v>залишено без розгляду</c:v>
                </c:pt>
                <c:pt idx="7">
                  <c:v>порушено терміни розгляду</c:v>
                </c:pt>
                <c:pt idx="8">
                  <c:v>нерозглянуто</c:v>
                </c:pt>
                <c:pt idx="9">
                  <c:v>із них, зупинео</c:v>
                </c:pt>
              </c:strCache>
            </c:strRef>
          </c:cat>
          <c:val>
            <c:numRef>
              <c:f>Лист1!$B$2:$B$11</c:f>
              <c:numCache>
                <c:formatCode>General</c:formatCode>
                <c:ptCount val="10"/>
                <c:pt idx="0">
                  <c:v>5268</c:v>
                </c:pt>
                <c:pt idx="1">
                  <c:v>3881</c:v>
                </c:pt>
                <c:pt idx="2">
                  <c:v>3229</c:v>
                </c:pt>
                <c:pt idx="3">
                  <c:v>2736</c:v>
                </c:pt>
                <c:pt idx="4">
                  <c:v>49</c:v>
                </c:pt>
                <c:pt idx="5">
                  <c:v>166</c:v>
                </c:pt>
                <c:pt idx="6">
                  <c:v>437</c:v>
                </c:pt>
                <c:pt idx="7">
                  <c:v>592</c:v>
                </c:pt>
                <c:pt idx="8">
                  <c:v>1387</c:v>
                </c:pt>
                <c:pt idx="9">
                  <c:v>475</c:v>
                </c:pt>
              </c:numCache>
            </c:numRef>
          </c:val>
        </c:ser>
        <c:ser>
          <c:idx val="1"/>
          <c:order val="1"/>
          <c:tx>
            <c:strRef>
              <c:f>Лист1!$C$1</c:f>
              <c:strCache>
                <c:ptCount val="1"/>
                <c:pt idx="0">
                  <c:v>2018</c:v>
                </c:pt>
              </c:strCache>
            </c:strRef>
          </c:tx>
          <c:invertIfNegative val="0"/>
          <c:cat>
            <c:strRef>
              <c:f>Лист1!$A$2:$A$11</c:f>
              <c:strCache>
                <c:ptCount val="10"/>
                <c:pt idx="0">
                  <c:v>перебувало на розгляді справ</c:v>
                </c:pt>
                <c:pt idx="1">
                  <c:v>розглянуто справ</c:v>
                </c:pt>
                <c:pt idx="2">
                  <c:v>прийнято постанов, рішень</c:v>
                </c:pt>
                <c:pt idx="3">
                  <c:v>позов задоволено</c:v>
                </c:pt>
                <c:pt idx="4">
                  <c:v>передано за підсудністю </c:v>
                </c:pt>
                <c:pt idx="5">
                  <c:v>закрито провадження</c:v>
                </c:pt>
                <c:pt idx="6">
                  <c:v>залишено без розгляду</c:v>
                </c:pt>
                <c:pt idx="7">
                  <c:v>порушено терміни розгляду</c:v>
                </c:pt>
                <c:pt idx="8">
                  <c:v>нерозглянуто</c:v>
                </c:pt>
                <c:pt idx="9">
                  <c:v>із них, зупинео</c:v>
                </c:pt>
              </c:strCache>
            </c:strRef>
          </c:cat>
          <c:val>
            <c:numRef>
              <c:f>Лист1!$C$2:$C$11</c:f>
              <c:numCache>
                <c:formatCode>General</c:formatCode>
                <c:ptCount val="10"/>
                <c:pt idx="0">
                  <c:v>5917</c:v>
                </c:pt>
                <c:pt idx="1">
                  <c:v>4504</c:v>
                </c:pt>
                <c:pt idx="2">
                  <c:v>3669</c:v>
                </c:pt>
                <c:pt idx="3">
                  <c:v>2880</c:v>
                </c:pt>
                <c:pt idx="4">
                  <c:v>95</c:v>
                </c:pt>
                <c:pt idx="5">
                  <c:v>331</c:v>
                </c:pt>
                <c:pt idx="6">
                  <c:v>409</c:v>
                </c:pt>
                <c:pt idx="7">
                  <c:v>100</c:v>
                </c:pt>
                <c:pt idx="8">
                  <c:v>1413</c:v>
                </c:pt>
                <c:pt idx="9">
                  <c:v>484</c:v>
                </c:pt>
              </c:numCache>
            </c:numRef>
          </c:val>
        </c:ser>
        <c:dLbls>
          <c:showLegendKey val="0"/>
          <c:showVal val="1"/>
          <c:showCatName val="0"/>
          <c:showSerName val="0"/>
          <c:showPercent val="0"/>
          <c:showBubbleSize val="0"/>
        </c:dLbls>
        <c:gapWidth val="75"/>
        <c:axId val="232737792"/>
        <c:axId val="232739584"/>
      </c:barChart>
      <c:catAx>
        <c:axId val="232737792"/>
        <c:scaling>
          <c:orientation val="minMax"/>
        </c:scaling>
        <c:delete val="0"/>
        <c:axPos val="b"/>
        <c:majorTickMark val="none"/>
        <c:minorTickMark val="none"/>
        <c:tickLblPos val="nextTo"/>
        <c:crossAx val="232739584"/>
        <c:crosses val="autoZero"/>
        <c:auto val="1"/>
        <c:lblAlgn val="ctr"/>
        <c:lblOffset val="100"/>
        <c:noMultiLvlLbl val="0"/>
      </c:catAx>
      <c:valAx>
        <c:axId val="232739584"/>
        <c:scaling>
          <c:orientation val="minMax"/>
        </c:scaling>
        <c:delete val="0"/>
        <c:axPos val="l"/>
        <c:majorGridlines/>
        <c:numFmt formatCode="General" sourceLinked="1"/>
        <c:majorTickMark val="none"/>
        <c:minorTickMark val="none"/>
        <c:tickLblPos val="nextTo"/>
        <c:crossAx val="232737792"/>
        <c:crosses val="autoZero"/>
        <c:crossBetween val="between"/>
      </c:valAx>
      <c:dTable>
        <c:showHorzBorder val="1"/>
        <c:showVertBorder val="1"/>
        <c:showOutline val="1"/>
        <c:showKeys val="1"/>
        <c:spPr>
          <a:ln w="12700"/>
        </c:spPr>
        <c:txPr>
          <a:bodyPr/>
          <a:lstStyle/>
          <a:p>
            <a:pPr rtl="0">
              <a:defRPr sz="680" baseline="0"/>
            </a:pPr>
            <a:endParaRPr lang="uk-UA"/>
          </a:p>
        </c:txPr>
      </c:dTable>
    </c:plotArea>
    <c:legend>
      <c:legendPos val="b"/>
      <c:overlay val="0"/>
    </c:legend>
    <c:plotVisOnly val="1"/>
    <c:dispBlanksAs val="gap"/>
    <c:showDLblsOverMax val="0"/>
  </c:chart>
  <c:txPr>
    <a:bodyPr/>
    <a:lstStyle/>
    <a:p>
      <a:pPr>
        <a:defRPr sz="800" baseline="0"/>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c:v>
                </c:pt>
              </c:strCache>
            </c:strRef>
          </c:tx>
          <c:invertIfNegative val="0"/>
          <c:cat>
            <c:strRef>
              <c:f>Лист1!$A$2</c:f>
              <c:strCache>
                <c:ptCount val="1"/>
                <c:pt idx="0">
                  <c:v>порушено строки розгляду</c:v>
                </c:pt>
              </c:strCache>
            </c:strRef>
          </c:cat>
          <c:val>
            <c:numRef>
              <c:f>Лист1!$B$2</c:f>
              <c:numCache>
                <c:formatCode>General</c:formatCode>
                <c:ptCount val="1"/>
                <c:pt idx="0">
                  <c:v>900</c:v>
                </c:pt>
              </c:numCache>
            </c:numRef>
          </c:val>
        </c:ser>
        <c:ser>
          <c:idx val="1"/>
          <c:order val="1"/>
          <c:tx>
            <c:strRef>
              <c:f>Лист1!$C$1</c:f>
              <c:strCache>
                <c:ptCount val="1"/>
                <c:pt idx="0">
                  <c:v>2017</c:v>
                </c:pt>
              </c:strCache>
            </c:strRef>
          </c:tx>
          <c:invertIfNegative val="0"/>
          <c:dPt>
            <c:idx val="0"/>
            <c:invertIfNegative val="0"/>
            <c:bubble3D val="0"/>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dPt>
          <c:cat>
            <c:strRef>
              <c:f>Лист1!$A$2</c:f>
              <c:strCache>
                <c:ptCount val="1"/>
                <c:pt idx="0">
                  <c:v>порушено строки розгляду</c:v>
                </c:pt>
              </c:strCache>
            </c:strRef>
          </c:cat>
          <c:val>
            <c:numRef>
              <c:f>Лист1!$C$2</c:f>
              <c:numCache>
                <c:formatCode>General</c:formatCode>
                <c:ptCount val="1"/>
                <c:pt idx="0">
                  <c:v>592</c:v>
                </c:pt>
              </c:numCache>
            </c:numRef>
          </c:val>
        </c:ser>
        <c:ser>
          <c:idx val="2"/>
          <c:order val="2"/>
          <c:tx>
            <c:strRef>
              <c:f>Лист1!$D$1</c:f>
              <c:strCache>
                <c:ptCount val="1"/>
                <c:pt idx="0">
                  <c:v>2018</c:v>
                </c:pt>
              </c:strCache>
            </c:strRef>
          </c:tx>
          <c:invertIfNegative val="0"/>
          <c:cat>
            <c:strRef>
              <c:f>Лист1!$A$2</c:f>
              <c:strCache>
                <c:ptCount val="1"/>
                <c:pt idx="0">
                  <c:v>порушено строки розгляду</c:v>
                </c:pt>
              </c:strCache>
            </c:strRef>
          </c:cat>
          <c:val>
            <c:numRef>
              <c:f>Лист1!$D$2</c:f>
              <c:numCache>
                <c:formatCode>General</c:formatCode>
                <c:ptCount val="1"/>
                <c:pt idx="0">
                  <c:v>100</c:v>
                </c:pt>
              </c:numCache>
            </c:numRef>
          </c:val>
        </c:ser>
        <c:dLbls>
          <c:showLegendKey val="0"/>
          <c:showVal val="1"/>
          <c:showCatName val="0"/>
          <c:showSerName val="0"/>
          <c:showPercent val="0"/>
          <c:showBubbleSize val="0"/>
        </c:dLbls>
        <c:gapWidth val="75"/>
        <c:overlap val="-8"/>
        <c:axId val="249493376"/>
        <c:axId val="249494912"/>
      </c:barChart>
      <c:catAx>
        <c:axId val="249493376"/>
        <c:scaling>
          <c:orientation val="minMax"/>
        </c:scaling>
        <c:delete val="0"/>
        <c:axPos val="b"/>
        <c:majorTickMark val="none"/>
        <c:minorTickMark val="none"/>
        <c:tickLblPos val="nextTo"/>
        <c:crossAx val="249494912"/>
        <c:crosses val="autoZero"/>
        <c:auto val="1"/>
        <c:lblAlgn val="ctr"/>
        <c:lblOffset val="100"/>
        <c:noMultiLvlLbl val="0"/>
      </c:catAx>
      <c:valAx>
        <c:axId val="249494912"/>
        <c:scaling>
          <c:orientation val="minMax"/>
        </c:scaling>
        <c:delete val="0"/>
        <c:axPos val="l"/>
        <c:numFmt formatCode="General" sourceLinked="1"/>
        <c:majorTickMark val="none"/>
        <c:minorTickMark val="none"/>
        <c:tickLblPos val="nextTo"/>
        <c:crossAx val="249493376"/>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2018</a:t>
            </a:r>
          </a:p>
        </c:rich>
      </c:tx>
      <c:overlay val="0"/>
    </c:title>
    <c:autoTitleDeleted val="0"/>
    <c:plotArea>
      <c:layout/>
      <c:pieChart>
        <c:varyColors val="1"/>
        <c:ser>
          <c:idx val="0"/>
          <c:order val="0"/>
          <c:tx>
            <c:strRef>
              <c:f>Лист1!$B$1</c:f>
              <c:strCache>
                <c:ptCount val="1"/>
                <c:pt idx="0">
                  <c:v>2018</c:v>
                </c:pt>
              </c:strCache>
            </c:strRef>
          </c:tx>
          <c:cat>
            <c:strRef>
              <c:f>Лист1!$A$2:$A$3</c:f>
              <c:strCache>
                <c:ptCount val="2"/>
                <c:pt idx="0">
                  <c:v>розглянуто</c:v>
                </c:pt>
                <c:pt idx="1">
                  <c:v>не розглянуто</c:v>
                </c:pt>
              </c:strCache>
            </c:strRef>
          </c:cat>
          <c:val>
            <c:numRef>
              <c:f>Лист1!$B$2:$B$3</c:f>
              <c:numCache>
                <c:formatCode>0%</c:formatCode>
                <c:ptCount val="2"/>
                <c:pt idx="0">
                  <c:v>0.87</c:v>
                </c:pt>
                <c:pt idx="1">
                  <c:v>0.13</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914362125742924"/>
          <c:y val="0.33837099630838829"/>
          <c:w val="0.40744751570305593"/>
          <c:h val="0.4905876336361201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uk-UA"/>
              <a:t>2017</a:t>
            </a:r>
          </a:p>
        </c:rich>
      </c:tx>
      <c:overlay val="0"/>
    </c:title>
    <c:autoTitleDeleted val="0"/>
    <c:plotArea>
      <c:layout/>
      <c:pieChart>
        <c:varyColors val="1"/>
        <c:ser>
          <c:idx val="0"/>
          <c:order val="0"/>
          <c:tx>
            <c:strRef>
              <c:f>Лист1!$B$1</c:f>
              <c:strCache>
                <c:ptCount val="1"/>
                <c:pt idx="0">
                  <c:v>2017</c:v>
                </c:pt>
              </c:strCache>
            </c:strRef>
          </c:tx>
          <c:cat>
            <c:strRef>
              <c:f>Лист1!$A$2:$A$3</c:f>
              <c:strCache>
                <c:ptCount val="2"/>
                <c:pt idx="0">
                  <c:v>розглянуто</c:v>
                </c:pt>
                <c:pt idx="1">
                  <c:v>не розглянуто</c:v>
                </c:pt>
              </c:strCache>
            </c:strRef>
          </c:cat>
          <c:val>
            <c:numRef>
              <c:f>Лист1!$B$2:$B$3</c:f>
              <c:numCache>
                <c:formatCode>0%</c:formatCode>
                <c:ptCount val="2"/>
                <c:pt idx="0">
                  <c:v>0.8</c:v>
                </c:pt>
                <c:pt idx="1">
                  <c:v>0.2</c:v>
                </c:pt>
              </c:numCache>
            </c:numRef>
          </c:val>
        </c:ser>
        <c:dLbls>
          <c:showLegendKey val="0"/>
          <c:showVal val="0"/>
          <c:showCatName val="0"/>
          <c:showSerName val="0"/>
          <c:showPercent val="1"/>
          <c:showBubbleSize val="0"/>
          <c:showLeaderLines val="0"/>
        </c:dLbls>
        <c:firstSliceAng val="0"/>
      </c:pieChart>
    </c:plotArea>
    <c:legend>
      <c:legendPos val="r"/>
      <c:layout>
        <c:manualLayout>
          <c:xMode val="edge"/>
          <c:yMode val="edge"/>
          <c:x val="0.57914362125742924"/>
          <c:y val="0.33837099630838829"/>
          <c:w val="0.40744751570305593"/>
          <c:h val="0.4905876336361201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кількість виданих виконавчих листів</c:v>
                </c:pt>
              </c:strCache>
            </c:strRef>
          </c:tx>
          <c:marker>
            <c:symbol val="none"/>
          </c:marker>
          <c:dLbls>
            <c:dLblPos val="t"/>
            <c:showLegendKey val="0"/>
            <c:showVal val="1"/>
            <c:showCatName val="0"/>
            <c:showSerName val="0"/>
            <c:showPercent val="0"/>
            <c:showBubbleSize val="0"/>
            <c:showLeaderLines val="0"/>
          </c:dLbls>
          <c:cat>
            <c:strRef>
              <c:f>Лист1!$A$2:$A$4</c:f>
              <c:strCache>
                <c:ptCount val="3"/>
                <c:pt idx="0">
                  <c:v>2016 рік</c:v>
                </c:pt>
                <c:pt idx="1">
                  <c:v>2017 рік</c:v>
                </c:pt>
                <c:pt idx="2">
                  <c:v>2018 рік</c:v>
                </c:pt>
              </c:strCache>
            </c:strRef>
          </c:cat>
          <c:val>
            <c:numRef>
              <c:f>Лист1!$B$2:$B$4</c:f>
              <c:numCache>
                <c:formatCode>General</c:formatCode>
                <c:ptCount val="3"/>
                <c:pt idx="0">
                  <c:v>1454</c:v>
                </c:pt>
                <c:pt idx="1">
                  <c:v>2100</c:v>
                </c:pt>
                <c:pt idx="2">
                  <c:v>3404</c:v>
                </c:pt>
              </c:numCache>
            </c:numRef>
          </c:val>
          <c:smooth val="0"/>
        </c:ser>
        <c:dLbls>
          <c:showLegendKey val="0"/>
          <c:showVal val="0"/>
          <c:showCatName val="0"/>
          <c:showSerName val="0"/>
          <c:showPercent val="0"/>
          <c:showBubbleSize val="0"/>
        </c:dLbls>
        <c:marker val="1"/>
        <c:smooth val="0"/>
        <c:axId val="232501632"/>
        <c:axId val="232503168"/>
      </c:lineChart>
      <c:catAx>
        <c:axId val="232501632"/>
        <c:scaling>
          <c:orientation val="minMax"/>
        </c:scaling>
        <c:delete val="0"/>
        <c:axPos val="b"/>
        <c:numFmt formatCode="General" sourceLinked="1"/>
        <c:majorTickMark val="out"/>
        <c:minorTickMark val="none"/>
        <c:tickLblPos val="nextTo"/>
        <c:crossAx val="232503168"/>
        <c:crosses val="autoZero"/>
        <c:auto val="1"/>
        <c:lblAlgn val="ctr"/>
        <c:lblOffset val="100"/>
        <c:noMultiLvlLbl val="0"/>
      </c:catAx>
      <c:valAx>
        <c:axId val="232503168"/>
        <c:scaling>
          <c:orientation val="minMax"/>
        </c:scaling>
        <c:delete val="0"/>
        <c:axPos val="l"/>
        <c:majorGridlines/>
        <c:numFmt formatCode="General" sourceLinked="1"/>
        <c:majorTickMark val="out"/>
        <c:minorTickMark val="none"/>
        <c:tickLblPos val="nextTo"/>
        <c:crossAx val="2325016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82D-AB39-43E8-AF2B-9F5BD706F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9</Pages>
  <Words>14860</Words>
  <Characters>8471</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dc:creator>
  <cp:keywords/>
  <dc:description/>
  <cp:lastModifiedBy>Користувач Windows</cp:lastModifiedBy>
  <cp:revision>86</cp:revision>
  <cp:lastPrinted>2019-02-05T08:35:00Z</cp:lastPrinted>
  <dcterms:created xsi:type="dcterms:W3CDTF">2018-01-16T13:12:00Z</dcterms:created>
  <dcterms:modified xsi:type="dcterms:W3CDTF">2019-02-06T10:05:00Z</dcterms:modified>
</cp:coreProperties>
</file>